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Style w:val="5"/>
          <w:rFonts w:hint="eastAsia" w:eastAsia="黑体"/>
          <w:b/>
          <w:bCs w:val="0"/>
          <w:lang w:eastAsia="zh-CN"/>
        </w:rPr>
      </w:pPr>
      <w:bookmarkStart w:id="0" w:name="_Toc160778031"/>
      <w:r>
        <w:rPr>
          <w:rStyle w:val="5"/>
          <w:rFonts w:hint="eastAsia"/>
          <w:b w:val="0"/>
          <w:bCs/>
          <w:lang w:val="en-US" w:eastAsia="zh-CN"/>
        </w:rPr>
        <w:t>人工智能研究院</w:t>
      </w:r>
      <w:r>
        <w:rPr>
          <w:rStyle w:val="5"/>
          <w:rFonts w:hint="eastAsia"/>
          <w:b w:val="0"/>
          <w:bCs/>
        </w:rPr>
        <w:t>学生转专业工作实施办法</w:t>
      </w:r>
      <w:bookmarkEnd w:id="0"/>
      <w:bookmarkStart w:id="1" w:name="_GoBack"/>
      <w:bookmarkEnd w:id="1"/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为进一步加强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本科生转专业工作的规范化管理，根据学校《北京石油化工学院本科生校内转专业管理办法（</w:t>
      </w:r>
      <w:r>
        <w:rPr>
          <w:rFonts w:ascii="仿宋" w:hAnsi="仿宋" w:eastAsia="仿宋" w:cstheme="minorEastAsia"/>
          <w:sz w:val="28"/>
          <w:szCs w:val="28"/>
        </w:rPr>
        <w:t>2023版）》</w:t>
      </w:r>
      <w:r>
        <w:rPr>
          <w:rFonts w:hint="eastAsia" w:ascii="仿宋" w:hAnsi="仿宋" w:eastAsia="仿宋" w:cstheme="minorEastAsia"/>
          <w:sz w:val="28"/>
          <w:szCs w:val="28"/>
        </w:rPr>
        <w:t>等相关规定，特制定本实施办法。</w:t>
      </w:r>
    </w:p>
    <w:p>
      <w:pPr>
        <w:spacing w:before="100" w:beforeAutospacing="1" w:after="100" w:afterAutospacing="1" w:line="360" w:lineRule="auto"/>
        <w:ind w:firstLine="562" w:firstLineChars="200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一、工作原则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1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转专业与学分认定工作严格遵循“公平、公正、公开”的原则，学生和专业双向选择，专业择优录取。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2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>转专业事宜由学校统一组织，程序包括“计划公布、学生申请、专业审查、教务处审批”等阶段。</w:t>
      </w:r>
    </w:p>
    <w:p>
      <w:pPr>
        <w:spacing w:before="100" w:beforeAutospacing="1" w:after="100" w:afterAutospacing="1" w:line="360" w:lineRule="auto"/>
        <w:ind w:firstLine="562" w:firstLineChars="200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二、学生条件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申请同学符合学校《北京石油化工学院本科生校内转专业管理办法（</w:t>
      </w:r>
      <w:r>
        <w:rPr>
          <w:rFonts w:ascii="仿宋" w:hAnsi="仿宋" w:eastAsia="仿宋" w:cstheme="minorEastAsia"/>
          <w:sz w:val="28"/>
          <w:szCs w:val="28"/>
        </w:rPr>
        <w:t>2023版）》</w:t>
      </w:r>
      <w:r>
        <w:rPr>
          <w:rFonts w:hint="eastAsia" w:ascii="仿宋" w:hAnsi="仿宋" w:eastAsia="仿宋" w:cstheme="minorEastAsia"/>
          <w:sz w:val="28"/>
          <w:szCs w:val="28"/>
        </w:rPr>
        <w:t>等相关规定，按照学校统一安排，可以申请转专业。申请转专业只能填报一个志愿，学生专业一经确认，原则上不再更改。</w:t>
      </w:r>
    </w:p>
    <w:p>
      <w:pPr>
        <w:spacing w:before="100" w:beforeAutospacing="1" w:after="100" w:afterAutospacing="1" w:line="360" w:lineRule="auto"/>
        <w:ind w:firstLine="562" w:firstLineChars="200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三、时间安排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每年根据学校统一安排，一般在每学年春季学期，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各个专业上报招生计划和受理申请，专业接受转学申请的时间一般定于每年5月。</w:t>
      </w:r>
    </w:p>
    <w:p>
      <w:pPr>
        <w:spacing w:before="100" w:beforeAutospacing="1" w:after="100" w:afterAutospacing="1" w:line="360" w:lineRule="auto"/>
        <w:ind w:firstLine="562" w:firstLineChars="200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四、学生转专业录取流程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1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>各专业应成立由专业责任教授担任组长、至少 3 名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专任教师</w:t>
      </w:r>
      <w:r>
        <w:rPr>
          <w:rFonts w:hint="eastAsia" w:ascii="仿宋" w:hAnsi="仿宋" w:eastAsia="仿宋" w:cstheme="minorEastAsia"/>
          <w:sz w:val="28"/>
          <w:szCs w:val="28"/>
        </w:rPr>
        <w:t>组成考核小组，专业要制定评价方案，上报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审核。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2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 xml:space="preserve"> 考核小组严格按照评价方案进行考核，可以采取笔试、面试或多种形式结合的方式进行，对申请转入本专业的学生进行考核评价，择优录取，确保转入生源质量。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3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>名单报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审核通过后，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将拟转入学生名单报学校教务处。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ascii="仿宋" w:hAnsi="仿宋" w:eastAsia="仿宋" w:cstheme="minorEastAsia"/>
          <w:sz w:val="28"/>
          <w:szCs w:val="28"/>
        </w:rPr>
        <w:t>4.</w:t>
      </w:r>
      <w:r>
        <w:rPr>
          <w:rFonts w:hint="eastAsia" w:ascii="仿宋" w:hAnsi="仿宋" w:eastAsia="仿宋" w:cstheme="minorEastAsia"/>
          <w:sz w:val="28"/>
          <w:szCs w:val="28"/>
        </w:rPr>
        <w:t>经学校批准，具备转专业资格的学生到转入专业报到学习。</w:t>
      </w:r>
    </w:p>
    <w:p>
      <w:pPr>
        <w:spacing w:before="100" w:beforeAutospacing="1" w:after="100" w:afterAutospacing="1" w:line="360" w:lineRule="auto"/>
        <w:ind w:firstLine="562" w:firstLineChars="200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五、学分认定原则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由转入专业根据培养方案，对学生在转专业前获得的课程学分进行认定和转换，未修读课程以及在认定过程中学分低的课程需补修。具体认定如下：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1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 xml:space="preserve">当原专业已修课程的内容要求与专业所修课程相同时，承认其所修的课程学分成绩有效；当原专业已修课程的内容要求高于或等于专业时，承认其学分成绩有效。 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ascii="仿宋" w:hAnsi="仿宋" w:eastAsia="仿宋" w:cstheme="minorEastAsia"/>
          <w:sz w:val="28"/>
          <w:szCs w:val="28"/>
        </w:rPr>
        <w:t>2.</w:t>
      </w:r>
      <w:r>
        <w:rPr>
          <w:rFonts w:hint="eastAsia" w:ascii="仿宋" w:hAnsi="仿宋" w:eastAsia="仿宋" w:cstheme="minorEastAsia"/>
          <w:sz w:val="28"/>
          <w:szCs w:val="28"/>
        </w:rPr>
        <w:t>已修课程学分低于专业课程要求学分，或已修课程与专业培养方案中替代课程有差异但相近时，不可直接替代，需要通过参加第0 周的相关考试，考试合格后方可认定学分。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ascii="仿宋" w:hAnsi="仿宋" w:eastAsia="仿宋" w:cstheme="minorEastAsia"/>
          <w:sz w:val="28"/>
          <w:szCs w:val="28"/>
        </w:rPr>
        <w:t>3.</w:t>
      </w:r>
      <w:r>
        <w:rPr>
          <w:rFonts w:hint="eastAsia" w:ascii="仿宋" w:hAnsi="仿宋" w:eastAsia="仿宋" w:cstheme="minorEastAsia"/>
          <w:sz w:val="28"/>
          <w:szCs w:val="28"/>
        </w:rPr>
        <w:t>完全不同的课程，经过专业</w:t>
      </w:r>
      <w:r>
        <w:rPr>
          <w:rFonts w:ascii="仿宋" w:hAnsi="仿宋" w:eastAsia="仿宋" w:cstheme="minorEastAsia"/>
          <w:sz w:val="28"/>
          <w:szCs w:val="28"/>
        </w:rPr>
        <w:t>、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和</w:t>
      </w:r>
      <w:r>
        <w:rPr>
          <w:rFonts w:ascii="仿宋" w:hAnsi="仿宋" w:eastAsia="仿宋" w:cstheme="minorEastAsia"/>
          <w:sz w:val="28"/>
          <w:szCs w:val="28"/>
        </w:rPr>
        <w:t>教务处</w:t>
      </w:r>
      <w:r>
        <w:rPr>
          <w:rFonts w:hint="eastAsia" w:ascii="仿宋" w:hAnsi="仿宋" w:eastAsia="仿宋" w:cstheme="minorEastAsia"/>
          <w:sz w:val="28"/>
          <w:szCs w:val="28"/>
        </w:rPr>
        <w:t>认定，可以记入通识教育选修课学分和成绩。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依据上述原则，各个专业可以根据专业特点，制定本专业适用的认定方案。</w:t>
      </w:r>
    </w:p>
    <w:p>
      <w:pPr>
        <w:spacing w:before="100" w:beforeAutospacing="1" w:after="100" w:afterAutospacing="1" w:line="360" w:lineRule="auto"/>
        <w:ind w:firstLine="562" w:firstLineChars="200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六、转专业后管理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凡从外学院转入本专业的学生，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统一办理转专业编班手续，并建立系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副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theme="minorEastAsia"/>
          <w:sz w:val="28"/>
          <w:szCs w:val="28"/>
        </w:rPr>
        <w:t>主任、专业责任教授、班主任对接帮扶机制。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1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>班主任谈话了解，重点对转入学生进行学习指导、就业指导和心理辅导。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2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>系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副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theme="minorEastAsia"/>
          <w:sz w:val="28"/>
          <w:szCs w:val="28"/>
        </w:rPr>
        <w:t>主任、责任教授应根据学生学习情况进行基础分析，进行专业学习导论的重点教育，详细介绍专业课程设置和培养要求，引导学生结合自身特点做好学涯规划和职涯规划。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ascii="仿宋" w:hAnsi="仿宋" w:eastAsia="仿宋" w:cstheme="minorEastAsia"/>
          <w:sz w:val="28"/>
          <w:szCs w:val="28"/>
        </w:rPr>
        <w:t>3.</w:t>
      </w:r>
      <w:r>
        <w:rPr>
          <w:rFonts w:hint="eastAsia" w:ascii="仿宋" w:hAnsi="仿宋" w:eastAsia="仿宋" w:cstheme="minorEastAsia"/>
          <w:sz w:val="28"/>
          <w:szCs w:val="28"/>
        </w:rPr>
        <w:t>学生转专业后，按转入专业的培养方案修读课程。</w:t>
      </w:r>
    </w:p>
    <w:p>
      <w:pPr>
        <w:spacing w:before="100" w:beforeAutospacing="1" w:after="100" w:afterAutospacing="1" w:line="360" w:lineRule="auto"/>
        <w:ind w:firstLine="562" w:firstLineChars="200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七、其他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其他未尽事宜，按照北京石油化工学院《北京石油化工学院本科生校内转专业管理办法（</w:t>
      </w:r>
      <w:r>
        <w:rPr>
          <w:rFonts w:ascii="仿宋" w:hAnsi="仿宋" w:eastAsia="仿宋" w:cstheme="minorEastAsia"/>
          <w:sz w:val="28"/>
          <w:szCs w:val="28"/>
        </w:rPr>
        <w:t>2023版）</w:t>
      </w:r>
      <w:r>
        <w:rPr>
          <w:rFonts w:hint="eastAsia" w:ascii="仿宋" w:hAnsi="仿宋" w:eastAsia="仿宋" w:cstheme="minorEastAsia"/>
          <w:sz w:val="28"/>
          <w:szCs w:val="28"/>
        </w:rPr>
        <w:t>》、《北京石油化工学院本科生校内课程学分认定管理办法》（教务（2</w:t>
      </w:r>
      <w:r>
        <w:rPr>
          <w:rFonts w:ascii="仿宋" w:hAnsi="仿宋" w:eastAsia="仿宋" w:cstheme="minorEastAsia"/>
          <w:sz w:val="28"/>
          <w:szCs w:val="28"/>
        </w:rPr>
        <w:t>012</w:t>
      </w:r>
      <w:r>
        <w:rPr>
          <w:rFonts w:hint="eastAsia" w:ascii="仿宋" w:hAnsi="仿宋" w:eastAsia="仿宋" w:cstheme="minorEastAsia"/>
          <w:sz w:val="28"/>
          <w:szCs w:val="28"/>
        </w:rPr>
        <w:t>）2</w:t>
      </w:r>
      <w:r>
        <w:rPr>
          <w:rFonts w:ascii="仿宋" w:hAnsi="仿宋" w:eastAsia="仿宋" w:cstheme="minorEastAsia"/>
          <w:sz w:val="28"/>
          <w:szCs w:val="28"/>
        </w:rPr>
        <w:t>8</w:t>
      </w:r>
      <w:r>
        <w:rPr>
          <w:rFonts w:hint="eastAsia" w:ascii="仿宋" w:hAnsi="仿宋" w:eastAsia="仿宋" w:cstheme="minorEastAsia"/>
          <w:sz w:val="28"/>
          <w:szCs w:val="28"/>
        </w:rPr>
        <w:t>号）、</w:t>
      </w:r>
      <w:r>
        <w:rPr>
          <w:rFonts w:ascii="仿宋" w:hAnsi="仿宋" w:eastAsia="仿宋" w:cstheme="minorEastAsia"/>
          <w:sz w:val="28"/>
          <w:szCs w:val="28"/>
        </w:rPr>
        <w:t>《</w:t>
      </w:r>
      <w:r>
        <w:rPr>
          <w:rFonts w:hint="eastAsia" w:ascii="仿宋" w:hAnsi="仿宋" w:eastAsia="仿宋" w:cstheme="minorEastAsia"/>
          <w:sz w:val="28"/>
          <w:szCs w:val="28"/>
        </w:rPr>
        <w:t>北京石油化工学院本科学生学习管理规定（</w:t>
      </w:r>
      <w:r>
        <w:rPr>
          <w:rFonts w:ascii="仿宋" w:hAnsi="仿宋" w:eastAsia="仿宋" w:cstheme="minorEastAsia"/>
          <w:sz w:val="28"/>
          <w:szCs w:val="28"/>
        </w:rPr>
        <w:t>2023版）</w:t>
      </w:r>
      <w:r>
        <w:rPr>
          <w:rFonts w:hint="eastAsia" w:ascii="仿宋" w:hAnsi="仿宋" w:eastAsia="仿宋" w:cstheme="minorEastAsia"/>
          <w:sz w:val="28"/>
          <w:szCs w:val="28"/>
        </w:rPr>
        <w:t>》文件执行。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</w:p>
    <w:p>
      <w:pPr>
        <w:spacing w:line="360" w:lineRule="auto"/>
        <w:ind w:firstLine="562" w:firstLineChars="200"/>
        <w:jc w:val="right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  <w:lang w:val="en-US" w:eastAsia="zh-CN"/>
        </w:rPr>
        <w:t>人工智能研究</w:t>
      </w:r>
      <w:r>
        <w:rPr>
          <w:rFonts w:hint="eastAsia" w:ascii="仿宋" w:hAnsi="仿宋" w:eastAsia="仿宋" w:cstheme="minorEastAsia"/>
          <w:b/>
          <w:bCs/>
          <w:sz w:val="28"/>
          <w:szCs w:val="28"/>
        </w:rPr>
        <w:t>院</w:t>
      </w:r>
    </w:p>
    <w:p>
      <w:pPr>
        <w:spacing w:line="360" w:lineRule="auto"/>
        <w:ind w:firstLine="562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2</w:t>
      </w:r>
      <w:r>
        <w:rPr>
          <w:rFonts w:ascii="仿宋" w:hAnsi="仿宋" w:eastAsia="仿宋" w:cstheme="minorEastAsia"/>
          <w:b/>
          <w:bCs/>
          <w:sz w:val="28"/>
          <w:szCs w:val="28"/>
        </w:rPr>
        <w:t>02</w:t>
      </w:r>
      <w:r>
        <w:rPr>
          <w:rFonts w:hint="eastAsia" w:ascii="仿宋" w:hAnsi="仿宋" w:eastAsia="仿宋" w:cstheme="minorEastAsia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theme="minorEastAsia"/>
          <w:b/>
          <w:bCs/>
          <w:sz w:val="28"/>
          <w:szCs w:val="28"/>
        </w:rPr>
        <w:t>年</w:t>
      </w:r>
      <w:r>
        <w:rPr>
          <w:rFonts w:hint="eastAsia" w:ascii="仿宋" w:hAnsi="仿宋" w:eastAsia="仿宋" w:cstheme="minorEastAsia"/>
          <w:b/>
          <w:bCs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theme="minorEastAsia"/>
          <w:b/>
          <w:bCs/>
          <w:sz w:val="28"/>
          <w:szCs w:val="28"/>
        </w:rPr>
        <w:t>月</w:t>
      </w:r>
      <w:r>
        <w:rPr>
          <w:rFonts w:hint="eastAsia" w:ascii="仿宋" w:hAnsi="仿宋" w:eastAsia="仿宋" w:cstheme="minorEastAsia"/>
          <w:b/>
          <w:bCs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theme="minorEastAsia"/>
          <w:b/>
          <w:bCs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zMTczZTg2NGE0OGIzOTllZGIyMDIyNGU3M2NlNmEifQ=="/>
  </w:docVars>
  <w:rsids>
    <w:rsidRoot w:val="00132160"/>
    <w:rsid w:val="00132160"/>
    <w:rsid w:val="003E43A3"/>
    <w:rsid w:val="02B87A6E"/>
    <w:rsid w:val="03DB525E"/>
    <w:rsid w:val="078E4D13"/>
    <w:rsid w:val="0B8D6A6E"/>
    <w:rsid w:val="0CF13201"/>
    <w:rsid w:val="19956AD1"/>
    <w:rsid w:val="1B522B5E"/>
    <w:rsid w:val="2AEF032B"/>
    <w:rsid w:val="37500665"/>
    <w:rsid w:val="41EA4045"/>
    <w:rsid w:val="452D1DA8"/>
    <w:rsid w:val="546625E6"/>
    <w:rsid w:val="5AEE56F8"/>
    <w:rsid w:val="5DC45566"/>
    <w:rsid w:val="62061880"/>
    <w:rsid w:val="65CD5C6D"/>
    <w:rsid w:val="745877E7"/>
    <w:rsid w:val="771F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22"/>
    <w:rPr>
      <w:b/>
      <w:bCs/>
    </w:rPr>
  </w:style>
  <w:style w:type="paragraph" w:customStyle="1" w:styleId="6">
    <w:name w:val="标题一"/>
    <w:basedOn w:val="2"/>
    <w:link w:val="7"/>
    <w:qFormat/>
    <w:uiPriority w:val="0"/>
    <w:pPr>
      <w:spacing w:before="312" w:beforeLines="100" w:after="312" w:afterLines="100" w:line="360" w:lineRule="auto"/>
      <w:jc w:val="center"/>
    </w:pPr>
    <w:rPr>
      <w:rFonts w:ascii="黑体" w:hAnsi="黑体" w:eastAsia="黑体"/>
      <w:bCs w:val="0"/>
      <w:sz w:val="36"/>
      <w:szCs w:val="36"/>
      <w14:ligatures w14:val="none"/>
    </w:rPr>
  </w:style>
  <w:style w:type="character" w:customStyle="1" w:styleId="7">
    <w:name w:val="标题一 字符"/>
    <w:basedOn w:val="4"/>
    <w:link w:val="6"/>
    <w:qFormat/>
    <w:uiPriority w:val="0"/>
    <w:rPr>
      <w:rFonts w:ascii="黑体" w:hAnsi="黑体" w:eastAsia="黑体" w:cs="Times New Roman"/>
      <w:b/>
      <w:kern w:val="44"/>
      <w:sz w:val="36"/>
      <w:szCs w:val="36"/>
      <w14:ligatures w14:val="none"/>
    </w:rPr>
  </w:style>
  <w:style w:type="character" w:customStyle="1" w:styleId="8">
    <w:name w:val="标题 1 字符"/>
    <w:basedOn w:val="4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182</Words>
  <Characters>1043</Characters>
  <Lines>8</Lines>
  <Paragraphs>2</Paragraphs>
  <TotalTime>0</TotalTime>
  <ScaleCrop>false</ScaleCrop>
  <LinksUpToDate>false</LinksUpToDate>
  <CharactersWithSpaces>1223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2024-03-25T12:28:00Z</dcterms:created>
  <dc:creator>1 0</dc:creator>
  <cp:lastModifiedBy>B20094</cp:lastModifiedBy>
  <dcterms:modified xsi:type="dcterms:W3CDTF">2024-04-02T08:43:59Z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9FD07B8DC903452F98DC46187CB0A5EB_12</vt:lpwstr>
  </property>
</Properties>
</file>