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EB509">
      <w:pPr>
        <w:spacing w:line="560" w:lineRule="exact"/>
        <w:jc w:val="center"/>
        <w:rPr>
          <w:rFonts w:hint="eastAsia" w:ascii="仿宋" w:hAnsi="仿宋" w:eastAsia="仿宋" w:cs="Times New Roman"/>
          <w:b/>
          <w:bCs/>
          <w:sz w:val="32"/>
          <w:szCs w:val="32"/>
          <w14:ligatures w14:val="standardContextual"/>
        </w:rPr>
      </w:pPr>
      <w:bookmarkStart w:id="0" w:name="_Hlk227662489"/>
    </w:p>
    <w:p w14:paraId="2539DC41">
      <w:pPr>
        <w:spacing w:line="560" w:lineRule="exact"/>
        <w:jc w:val="center"/>
        <w:rPr>
          <w:rFonts w:ascii="仿宋" w:hAnsi="仿宋" w:eastAsia="仿宋" w:cs="Times New Roman"/>
          <w:b/>
          <w:bCs/>
          <w:sz w:val="32"/>
          <w:szCs w:val="32"/>
          <w14:ligatures w14:val="standardContextual"/>
        </w:rPr>
      </w:pPr>
      <w:bookmarkStart w:id="6" w:name="_GoBack"/>
      <w:bookmarkEnd w:id="6"/>
      <w:r>
        <w:rPr>
          <w:rFonts w:hint="eastAsia" w:ascii="仿宋" w:hAnsi="仿宋" w:eastAsia="仿宋" w:cs="Times New Roman"/>
          <w:b/>
          <w:bCs/>
          <w:sz w:val="32"/>
          <w:szCs w:val="32"/>
          <w14:ligatures w14:val="standardContextual"/>
        </w:rPr>
        <w:t>石油和化工行业“十五五”规划教材建设方案</w:t>
      </w:r>
      <w:bookmarkEnd w:id="0"/>
    </w:p>
    <w:p w14:paraId="37C36735">
      <w:pPr>
        <w:spacing w:line="560" w:lineRule="exact"/>
        <w:jc w:val="left"/>
        <w:rPr>
          <w:rFonts w:ascii="仿宋" w:hAnsi="仿宋" w:eastAsia="仿宋" w:cs="Times New Roman"/>
          <w:sz w:val="32"/>
          <w:szCs w:val="32"/>
          <w14:ligatures w14:val="standardContextual"/>
        </w:rPr>
      </w:pPr>
    </w:p>
    <w:p w14:paraId="5E5B1B91">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为深入贯彻党的教育方针，服务国家发展战略，积极响应教育数字化战略行动，助推现代化产业体系建设，落实《教育强国建设规划纲要（2024—2035年）》《普通高等学校教材管理办法》《职业院校教材管理办法》和《教育部等九部门关于加快推进教育数字化的意见》等重要文件精神，服务行业院校教学改革，发挥行业在人才培养、专业建设中的促进作用，中国化工教育协会制定本方案，并根据方案启动普通本科院校教材、职业本科教材、高等职业教材、中等职业教材建设工作，包括纸质教材和数字教材，以全面提升石油和化工行业教材质量。</w:t>
      </w:r>
    </w:p>
    <w:p w14:paraId="683D762B">
      <w:pPr>
        <w:spacing w:line="560" w:lineRule="exact"/>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现将有关事项通知如下。</w:t>
      </w:r>
    </w:p>
    <w:p w14:paraId="18EB506D">
      <w:pPr>
        <w:spacing w:line="560" w:lineRule="exact"/>
        <w:rPr>
          <w:rFonts w:ascii="仿宋" w:hAnsi="仿宋" w:eastAsia="仿宋" w:cs="Times New Roman"/>
          <w:b/>
          <w:bCs/>
          <w:sz w:val="32"/>
          <w:szCs w:val="32"/>
          <w14:ligatures w14:val="standardContextual"/>
        </w:rPr>
      </w:pPr>
      <w:r>
        <w:rPr>
          <w:rFonts w:hint="eastAsia" w:ascii="仿宋" w:hAnsi="仿宋" w:eastAsia="仿宋" w:cs="Times New Roman"/>
          <w:b/>
          <w:bCs/>
          <w:sz w:val="32"/>
          <w:szCs w:val="32"/>
          <w14:ligatures w14:val="standardContextual"/>
        </w:rPr>
        <w:t>一、指导原则</w:t>
      </w:r>
    </w:p>
    <w:p w14:paraId="1679224B">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坚持以习近平新时代中国特色社会主义思想为指导，全面贯彻党的教育方针，充分体现党和国家的意志，落实立德树人根本任务。牢记为党育人、为国育才初心使命，坚持正确政治方向，继承优良传统，推进教材数字化转型，用心打造“培根铸魂、启智增慧”的精品教材，以培养担当民族复兴大任的时代新人。</w:t>
      </w:r>
    </w:p>
    <w:p w14:paraId="40254FAB">
      <w:pPr>
        <w:spacing w:line="560" w:lineRule="exact"/>
        <w:rPr>
          <w:rFonts w:ascii="仿宋" w:hAnsi="仿宋" w:eastAsia="仿宋" w:cs="Times New Roman"/>
          <w:b/>
          <w:bCs/>
          <w:sz w:val="32"/>
          <w:szCs w:val="32"/>
          <w14:ligatures w14:val="standardContextual"/>
        </w:rPr>
      </w:pPr>
      <w:r>
        <w:rPr>
          <w:rFonts w:hint="eastAsia" w:ascii="仿宋" w:hAnsi="仿宋" w:eastAsia="仿宋" w:cs="Times New Roman"/>
          <w:b/>
          <w:bCs/>
          <w:sz w:val="32"/>
          <w:szCs w:val="32"/>
          <w14:ligatures w14:val="standardContextual"/>
        </w:rPr>
        <w:t>二、组织方式</w:t>
      </w:r>
    </w:p>
    <w:p w14:paraId="726E2457">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石油和化工行业“十五五”规划教材建设工作由中国化工教育协会统筹，</w:t>
      </w:r>
      <w:bookmarkStart w:id="1" w:name="_Hlk230855199"/>
      <w:r>
        <w:rPr>
          <w:rFonts w:hint="eastAsia" w:ascii="仿宋" w:hAnsi="仿宋" w:eastAsia="仿宋" w:cs="Times New Roman"/>
          <w:sz w:val="32"/>
          <w:szCs w:val="32"/>
          <w14:ligatures w14:val="standardContextual"/>
        </w:rPr>
        <w:t>中国化工教育协会教材建设工作委员会</w:t>
      </w:r>
      <w:bookmarkEnd w:id="1"/>
      <w:r>
        <w:rPr>
          <w:rFonts w:hint="eastAsia" w:ascii="仿宋" w:hAnsi="仿宋" w:eastAsia="仿宋" w:cs="Times New Roman"/>
          <w:sz w:val="32"/>
          <w:szCs w:val="32"/>
          <w14:ligatures w14:val="standardContextual"/>
        </w:rPr>
        <w:t>组建评审办公室组织落实，采用分期推进、逐年申报的方式遴选。</w:t>
      </w:r>
      <w:r>
        <w:rPr>
          <w:rFonts w:ascii="仿宋" w:hAnsi="仿宋" w:eastAsia="仿宋" w:cs="Times New Roman"/>
          <w:sz w:val="32"/>
          <w:szCs w:val="32"/>
          <w14:ligatures w14:val="standardContextual"/>
        </w:rPr>
        <w:t>2026年启动，至2029年截止，每年进行申报与评审</w:t>
      </w:r>
      <w:r>
        <w:rPr>
          <w:rFonts w:hint="eastAsia" w:ascii="仿宋" w:hAnsi="仿宋" w:eastAsia="仿宋" w:cs="Times New Roman"/>
          <w:sz w:val="32"/>
          <w:szCs w:val="32"/>
          <w14:ligatures w14:val="standardContextual"/>
        </w:rPr>
        <w:t>。</w:t>
      </w:r>
    </w:p>
    <w:p w14:paraId="067519EA">
      <w:pPr>
        <w:spacing w:line="560" w:lineRule="exact"/>
        <w:rPr>
          <w:rFonts w:ascii="仿宋" w:hAnsi="仿宋" w:eastAsia="仿宋" w:cs="Times New Roman"/>
          <w:b/>
          <w:bCs/>
          <w:sz w:val="32"/>
          <w:szCs w:val="32"/>
          <w14:ligatures w14:val="standardContextual"/>
        </w:rPr>
      </w:pPr>
      <w:r>
        <w:rPr>
          <w:rFonts w:hint="eastAsia" w:ascii="仿宋" w:hAnsi="仿宋" w:eastAsia="仿宋" w:cs="Times New Roman"/>
          <w:b/>
          <w:bCs/>
          <w:sz w:val="32"/>
          <w:szCs w:val="32"/>
          <w14:ligatures w14:val="standardContextual"/>
        </w:rPr>
        <w:t>三、建设要求</w:t>
      </w:r>
    </w:p>
    <w:p w14:paraId="556FE6AC">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1.坚持正确政治方向和价值导向</w:t>
      </w:r>
    </w:p>
    <w:p w14:paraId="40F124F5">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教材编写要牢牢把握正确的政治方向和价值导向，坚持立德树人根本任务，大力弘扬社会主义核心价值观。将党的二十大精神、二十届四中全会等“课程思政”元素有机融入教材中，引导学生积极投身中华民族伟大复兴的实践中。</w:t>
      </w:r>
    </w:p>
    <w:p w14:paraId="7E23A7FD">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2.展现行业成果与特色</w:t>
      </w:r>
    </w:p>
    <w:p w14:paraId="38F07EB6">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充分展现石油和化工行业在社会发展和科技进步中的重要作用与成果，对接产业升级和技术变革，面向制造强国、“碳达峰、碳中和”发展目标，突出石油、化工及相关行业特色，将行业发展的新方法、新技术、新工艺、新标准、新装备以及人工智能运用等融入教材，建成一批贴合技术革新方向、反映行业发展动态、兼具实用性与前瞻性的精品教材，以满足国家战略和区域经济发展的人才培养需求。</w:t>
      </w:r>
    </w:p>
    <w:p w14:paraId="7D39D1DF">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3.改革创新、数字化发展</w:t>
      </w:r>
    </w:p>
    <w:p w14:paraId="2E355C56">
      <w:pPr>
        <w:spacing w:line="560" w:lineRule="exact"/>
        <w:ind w:firstLine="640" w:firstLineChars="200"/>
        <w:rPr>
          <w:rFonts w:ascii="仿宋" w:hAnsi="仿宋" w:eastAsia="仿宋" w:cs="Times New Roman"/>
          <w:bCs/>
          <w:sz w:val="32"/>
          <w:szCs w:val="32"/>
          <w14:ligatures w14:val="standardContextual"/>
        </w:rPr>
      </w:pPr>
      <w:r>
        <w:rPr>
          <w:rFonts w:hint="eastAsia" w:ascii="仿宋" w:hAnsi="仿宋" w:eastAsia="仿宋" w:cs="Times New Roman"/>
          <w:sz w:val="32"/>
          <w:szCs w:val="32"/>
          <w14:ligatures w14:val="standardContextual"/>
        </w:rPr>
        <w:t>遵循教育教学规律和人才成长规律，服务专业升级和数字化改造，开发符合现代产业革新需求的高水平教材。</w:t>
      </w:r>
      <w:r>
        <w:rPr>
          <w:rFonts w:hint="eastAsia" w:ascii="仿宋" w:hAnsi="仿宋" w:eastAsia="仿宋" w:cs="Times New Roman"/>
          <w:bCs/>
          <w:sz w:val="32"/>
          <w:szCs w:val="32"/>
          <w14:ligatures w14:val="standardContextual"/>
        </w:rPr>
        <w:t>鼓励以下类型教材申报：新兴专业、新课程急需教材（新兴专业可按系列教材申报）；人工智能+专业或人工智能+课程、数字赋能等新形态教材；职业教育活页式、工作手册式教材。</w:t>
      </w:r>
    </w:p>
    <w:p w14:paraId="502420B0">
      <w:pPr>
        <w:spacing w:line="560" w:lineRule="exact"/>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推动教材与数字化资源深度融合，推进教育数字化纵深发展。倡导开发融合多种媒体的新形态教材及富媒体、强交互、智能化的数字教材。</w:t>
      </w:r>
    </w:p>
    <w:p w14:paraId="1506EACA">
      <w:pPr>
        <w:spacing w:line="560" w:lineRule="exact"/>
        <w:rPr>
          <w:rFonts w:ascii="仿宋" w:hAnsi="仿宋" w:eastAsia="仿宋" w:cs="Times New Roman"/>
          <w:b/>
          <w:bCs/>
          <w:sz w:val="32"/>
          <w:szCs w:val="32"/>
          <w14:ligatures w14:val="standardContextual"/>
        </w:rPr>
      </w:pPr>
      <w:r>
        <w:rPr>
          <w:rFonts w:hint="eastAsia" w:ascii="仿宋" w:hAnsi="仿宋" w:eastAsia="仿宋" w:cs="Times New Roman"/>
          <w:b/>
          <w:bCs/>
          <w:sz w:val="32"/>
          <w:szCs w:val="32"/>
          <w14:ligatures w14:val="standardContextual"/>
        </w:rPr>
        <w:t>四、申报要求</w:t>
      </w:r>
    </w:p>
    <w:p w14:paraId="4569FB9C">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1.申报单位</w:t>
      </w:r>
    </w:p>
    <w:p w14:paraId="0DE65A4E">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申报单位应为第一主编所在单位。由教材主编填写相关申报材料，申报单位对申报教材的价值导向及思想性、科学性和前瞻性，及教材编写人员的政治表现、师德师风进行审核把关。经申报单位审批，按照申报条件择优推荐。</w:t>
      </w:r>
    </w:p>
    <w:p w14:paraId="59231283">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2.申报专业范围</w:t>
      </w:r>
    </w:p>
    <w:p w14:paraId="318A23ED">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（1）化学化工专业群：化学、化工、材料、能源、环境、安全</w:t>
      </w:r>
    </w:p>
    <w:p w14:paraId="1B910A00">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（2）</w:t>
      </w:r>
      <w:r>
        <w:rPr>
          <w:rFonts w:ascii="仿宋" w:hAnsi="仿宋" w:eastAsia="仿宋" w:cs="Times New Roman"/>
          <w:sz w:val="32"/>
          <w:szCs w:val="32"/>
          <w14:ligatures w14:val="standardContextual"/>
        </w:rPr>
        <w:t>生物医药</w:t>
      </w:r>
      <w:r>
        <w:rPr>
          <w:rFonts w:hint="eastAsia" w:ascii="仿宋" w:hAnsi="仿宋" w:eastAsia="仿宋" w:cs="Times New Roman"/>
          <w:sz w:val="32"/>
          <w:szCs w:val="32"/>
          <w14:ligatures w14:val="standardContextual"/>
        </w:rPr>
        <w:t>专业群：生物、医药、食品、轻工、农业</w:t>
      </w:r>
    </w:p>
    <w:p w14:paraId="26395FBE">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（3）机械电气专业群：机械、电气、信息、自控、土建</w:t>
      </w:r>
    </w:p>
    <w:p w14:paraId="021AC947">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（4）</w:t>
      </w:r>
      <w:r>
        <w:rPr>
          <w:rFonts w:ascii="仿宋" w:hAnsi="仿宋" w:eastAsia="仿宋" w:cs="Times New Roman"/>
          <w:sz w:val="32"/>
          <w:szCs w:val="32"/>
          <w14:ligatures w14:val="standardContextual"/>
        </w:rPr>
        <w:t>新兴领域专业群：新材料、新能源、分子工程、高端装备制造、具身智能、生物</w:t>
      </w:r>
      <w:r>
        <w:rPr>
          <w:rFonts w:hint="eastAsia" w:ascii="仿宋" w:hAnsi="仿宋" w:eastAsia="仿宋" w:cs="Times New Roman"/>
          <w:sz w:val="32"/>
          <w:szCs w:val="32"/>
          <w14:ligatures w14:val="standardContextual"/>
        </w:rPr>
        <w:t>制造</w:t>
      </w:r>
      <w:r>
        <w:rPr>
          <w:rFonts w:ascii="仿宋" w:hAnsi="仿宋" w:eastAsia="仿宋" w:cs="Times New Roman"/>
          <w:sz w:val="32"/>
          <w:szCs w:val="32"/>
          <w14:ligatures w14:val="standardContextual"/>
        </w:rPr>
        <w:t>、绿色环保</w:t>
      </w:r>
      <w:r>
        <w:rPr>
          <w:rFonts w:hint="eastAsia" w:ascii="仿宋" w:hAnsi="仿宋" w:eastAsia="仿宋" w:cs="Times New Roman"/>
          <w:sz w:val="32"/>
          <w:szCs w:val="32"/>
          <w14:ligatures w14:val="standardContextual"/>
        </w:rPr>
        <w:t>等</w:t>
      </w:r>
    </w:p>
    <w:p w14:paraId="58A866AF">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（5）面向专业（群）开设的</w:t>
      </w:r>
      <w:r>
        <w:rPr>
          <w:rFonts w:ascii="仿宋" w:hAnsi="仿宋" w:eastAsia="仿宋" w:cs="Times New Roman"/>
          <w:sz w:val="32"/>
          <w:szCs w:val="32"/>
          <w14:ligatures w14:val="standardContextual"/>
        </w:rPr>
        <w:t>公共课</w:t>
      </w:r>
    </w:p>
    <w:p w14:paraId="4F7822C4">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3.申报教学层次</w:t>
      </w:r>
    </w:p>
    <w:p w14:paraId="4EDA85DB">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研究生、普通本科、职业本科、高职、中职。</w:t>
      </w:r>
    </w:p>
    <w:p w14:paraId="304DF56E">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4</w:t>
      </w:r>
      <w:r>
        <w:rPr>
          <w:rFonts w:ascii="仿宋" w:hAnsi="仿宋" w:eastAsia="仿宋" w:cs="Times New Roman"/>
          <w:sz w:val="32"/>
          <w:szCs w:val="32"/>
          <w14:ligatures w14:val="standardContextual"/>
        </w:rPr>
        <w:t>.</w:t>
      </w:r>
      <w:r>
        <w:rPr>
          <w:rFonts w:hint="eastAsia" w:ascii="仿宋" w:hAnsi="仿宋" w:eastAsia="仿宋" w:cs="Times New Roman"/>
          <w:sz w:val="32"/>
          <w:szCs w:val="32"/>
          <w14:ligatures w14:val="standardContextual"/>
        </w:rPr>
        <w:t>申报对象及评审认定程序</w:t>
      </w:r>
    </w:p>
    <w:p w14:paraId="39CD52C1">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申报对象分为已出版教材申报和选题立项申报。</w:t>
      </w:r>
    </w:p>
    <w:p w14:paraId="14EC8F22">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已出版教材申报仅2026年集中申报一次，后续不再受理。</w:t>
      </w:r>
    </w:p>
    <w:p w14:paraId="523BB6BC">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选题立项申报包括：新编教材选题和修订再版教材选题</w:t>
      </w:r>
      <w:r>
        <w:rPr>
          <w:rFonts w:ascii="仿宋" w:hAnsi="仿宋" w:eastAsia="仿宋" w:cs="Times New Roman"/>
          <w:sz w:val="32"/>
          <w:szCs w:val="32"/>
          <w14:ligatures w14:val="standardContextual"/>
        </w:rPr>
        <w:t>。</w:t>
      </w:r>
      <w:r>
        <w:rPr>
          <w:rFonts w:hint="eastAsia" w:ascii="仿宋" w:hAnsi="仿宋" w:eastAsia="仿宋" w:cs="Times New Roman"/>
          <w:sz w:val="32"/>
          <w:szCs w:val="32"/>
          <w14:ligatures w14:val="standardContextual"/>
        </w:rPr>
        <w:t>在2026～2029年间可每年申报，具体时间按照当年发布的《关于开展石油和化工行业“十五五”规划教材建设工作的通知》要求。</w:t>
      </w:r>
      <w:bookmarkStart w:id="2" w:name="_Hlk230876212"/>
      <w:r>
        <w:rPr>
          <w:rFonts w:ascii="仿宋" w:hAnsi="仿宋" w:eastAsia="仿宋" w:cs="Times New Roman"/>
          <w:sz w:val="32"/>
          <w:szCs w:val="32"/>
          <w14:ligatures w14:val="standardContextual"/>
        </w:rPr>
        <w:t>采用“先立项、后认定”模式：专家评审通过后先立项为行业规划教材项目；</w:t>
      </w:r>
      <w:bookmarkEnd w:id="2"/>
      <w:bookmarkStart w:id="3" w:name="_Hlk230876051"/>
      <w:r>
        <w:rPr>
          <w:rFonts w:hint="eastAsia" w:ascii="仿宋" w:hAnsi="仿宋" w:eastAsia="仿宋" w:cs="Times New Roman"/>
          <w:sz w:val="32"/>
          <w:szCs w:val="32"/>
          <w14:ligatures w14:val="standardContextual"/>
        </w:rPr>
        <w:t>在</w:t>
      </w:r>
      <w:r>
        <w:rPr>
          <w:rFonts w:ascii="仿宋" w:hAnsi="仿宋" w:eastAsia="仿宋" w:cs="Times New Roman"/>
          <w:sz w:val="32"/>
          <w:szCs w:val="32"/>
          <w14:ligatures w14:val="standardContextual"/>
        </w:rPr>
        <w:t>教材出版</w:t>
      </w:r>
      <w:r>
        <w:rPr>
          <w:rFonts w:hint="eastAsia" w:ascii="仿宋" w:hAnsi="仿宋" w:eastAsia="仿宋" w:cs="Times New Roman"/>
          <w:sz w:val="32"/>
          <w:szCs w:val="32"/>
          <w14:ligatures w14:val="standardContextual"/>
        </w:rPr>
        <w:t>前</w:t>
      </w:r>
      <w:r>
        <w:rPr>
          <w:rFonts w:ascii="仿宋" w:hAnsi="仿宋" w:eastAsia="仿宋" w:cs="Times New Roman"/>
          <w:sz w:val="32"/>
          <w:szCs w:val="32"/>
          <w14:ligatures w14:val="standardContextual"/>
        </w:rPr>
        <w:t>，需提交样书经专家审核，确认符合立项标准和质量要求后，方可正式认定为行业规划教材，并获准</w:t>
      </w:r>
      <w:r>
        <w:rPr>
          <w:rFonts w:hint="eastAsia" w:ascii="仿宋" w:hAnsi="仿宋" w:eastAsia="仿宋" w:cs="Times New Roman"/>
          <w:sz w:val="32"/>
          <w:szCs w:val="32"/>
          <w14:ligatures w14:val="standardContextual"/>
        </w:rPr>
        <w:t>可在封面使用规划教材专用标识</w:t>
      </w:r>
      <w:r>
        <w:rPr>
          <w:rFonts w:ascii="仿宋" w:hAnsi="仿宋" w:eastAsia="仿宋" w:cs="Times New Roman"/>
          <w:sz w:val="32"/>
          <w:szCs w:val="32"/>
          <w14:ligatures w14:val="standardContextual"/>
        </w:rPr>
        <w:t>。</w:t>
      </w:r>
      <w:bookmarkEnd w:id="3"/>
    </w:p>
    <w:p w14:paraId="57DE2AA7">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5</w:t>
      </w:r>
      <w:r>
        <w:rPr>
          <w:rFonts w:ascii="仿宋" w:hAnsi="仿宋" w:eastAsia="仿宋" w:cs="Times New Roman"/>
          <w:sz w:val="32"/>
          <w:szCs w:val="32"/>
          <w14:ligatures w14:val="standardContextual"/>
        </w:rPr>
        <w:t>.</w:t>
      </w:r>
      <w:r>
        <w:rPr>
          <w:rFonts w:hint="eastAsia" w:ascii="仿宋" w:hAnsi="仿宋" w:eastAsia="仿宋" w:cs="Times New Roman"/>
          <w:sz w:val="32"/>
          <w:szCs w:val="32"/>
          <w14:ligatures w14:val="standardContextual"/>
        </w:rPr>
        <w:t>教材编写人员</w:t>
      </w:r>
    </w:p>
    <w:p w14:paraId="01173924">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教材编写团队需政治立场坚定，拥护中国共产党领导，认同中国特色社会主义，坚定“四个自信”、自觉践行社会主义核心价值观。</w:t>
      </w:r>
    </w:p>
    <w:p w14:paraId="72F7BFD7">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第一主编原则上须具有副教授以上职称，相关课程教龄满5年，具备丰富的教学经验，学术功底扎实，精准把握行业发展趋势，熟悉人才培养方案与课程教学标准，具备较强的编写与统稿能力，且能投入足够时间和精力保障教材质量与编写进度。对于新兴领域、紧缺及急需专业教材主编，可适当放宽职称或教龄要求。鼓励多校合编、校企合编，鼓励学校、企业和科研单位等共同研发教材内容。</w:t>
      </w:r>
    </w:p>
    <w:p w14:paraId="258789ED">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十五五”期间同一主编（第一主编）累计申报教材数量不得超过3种；同一主编不得申报相同课程的教材；通过审核立项的教材，原则上不更换第一主编。如有特殊情况需更换主编，须由所在单位提供《教材主编变更审核意见表》。</w:t>
      </w:r>
    </w:p>
    <w:p w14:paraId="5BC320FD">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6.申报教材册数</w:t>
      </w:r>
    </w:p>
    <w:p w14:paraId="67D56638">
      <w:pPr>
        <w:spacing w:line="560" w:lineRule="exact"/>
        <w:ind w:firstLine="640" w:firstLineChars="200"/>
        <w:rPr>
          <w:rFonts w:ascii="仿宋" w:hAnsi="仿宋" w:eastAsia="仿宋" w:cs="Times New Roman"/>
          <w:sz w:val="32"/>
          <w:szCs w:val="32"/>
          <w14:ligatures w14:val="standardContextual"/>
        </w:rPr>
      </w:pPr>
      <w:r>
        <w:rPr>
          <w:rFonts w:ascii="仿宋" w:hAnsi="仿宋" w:eastAsia="仿宋" w:cs="Times New Roman"/>
          <w:sz w:val="32"/>
          <w:szCs w:val="32"/>
          <w14:ligatures w14:val="standardContextual"/>
        </w:rPr>
        <w:t>申报教材须按单本单独申报，</w:t>
      </w:r>
      <w:r>
        <w:rPr>
          <w:rFonts w:hint="eastAsia" w:ascii="仿宋" w:hAnsi="仿宋" w:eastAsia="仿宋" w:cs="Times New Roman"/>
          <w:sz w:val="32"/>
          <w:szCs w:val="32"/>
          <w14:ligatures w14:val="standardContextual"/>
        </w:rPr>
        <w:t>除上、下册的情况，不允许</w:t>
      </w:r>
      <w:r>
        <w:rPr>
          <w:rFonts w:ascii="仿宋" w:hAnsi="仿宋" w:eastAsia="仿宋" w:cs="Times New Roman"/>
          <w:sz w:val="32"/>
          <w:szCs w:val="32"/>
          <w14:ligatures w14:val="standardContextual"/>
        </w:rPr>
        <w:t>多本合并申报。若为系列教材，可按系列内单本数量申报多个对应项目，且需在申报表指定栏目中填写系列教材的完整名称，确保申报信息与教材实际情况一致。</w:t>
      </w:r>
    </w:p>
    <w:p w14:paraId="00BF6A29">
      <w:pPr>
        <w:spacing w:line="560" w:lineRule="exact"/>
        <w:rPr>
          <w:rFonts w:ascii="仿宋" w:hAnsi="仿宋" w:eastAsia="仿宋" w:cs="Times New Roman"/>
          <w:b/>
          <w:bCs/>
          <w:sz w:val="32"/>
          <w:szCs w:val="32"/>
          <w14:ligatures w14:val="standardContextual"/>
        </w:rPr>
      </w:pPr>
      <w:r>
        <w:rPr>
          <w:rFonts w:hint="eastAsia" w:ascii="仿宋" w:hAnsi="仿宋" w:eastAsia="仿宋" w:cs="Times New Roman"/>
          <w:b/>
          <w:bCs/>
          <w:sz w:val="32"/>
          <w:szCs w:val="32"/>
          <w14:ligatures w14:val="standardContextual"/>
        </w:rPr>
        <w:t>五、申报及评审程序</w:t>
      </w:r>
    </w:p>
    <w:p w14:paraId="4A584504">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（一）网上申报材料要求</w:t>
      </w:r>
    </w:p>
    <w:p w14:paraId="375C850B">
      <w:pPr>
        <w:wordWrap w:val="0"/>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1.</w:t>
      </w:r>
      <w:bookmarkStart w:id="4" w:name="_Hlk230876742"/>
      <w:r>
        <w:rPr>
          <w:rFonts w:hint="eastAsia" w:ascii="仿宋" w:hAnsi="仿宋" w:eastAsia="仿宋" w:cs="Times New Roman"/>
          <w:sz w:val="32"/>
          <w:szCs w:val="32"/>
          <w14:ligatures w14:val="standardContextual"/>
        </w:rPr>
        <w:t>申报人（教材主编）可</w:t>
      </w:r>
      <w:r>
        <w:rPr>
          <w:rFonts w:ascii="仿宋" w:hAnsi="仿宋" w:eastAsia="仿宋" w:cs="Times New Roman"/>
          <w:sz w:val="32"/>
          <w:szCs w:val="32"/>
          <w14:ligatures w14:val="standardContextual"/>
        </w:rPr>
        <w:t>于</w:t>
      </w:r>
      <w:r>
        <w:rPr>
          <w:rFonts w:hint="eastAsia" w:ascii="仿宋" w:hAnsi="仿宋" w:eastAsia="仿宋" w:cs="Times New Roman"/>
          <w:sz w:val="32"/>
          <w:szCs w:val="32"/>
          <w14:ligatures w14:val="standardContextual"/>
        </w:rPr>
        <w:t>每年申报期内</w:t>
      </w:r>
      <w:r>
        <w:rPr>
          <w:rFonts w:ascii="仿宋" w:hAnsi="仿宋" w:eastAsia="仿宋" w:cs="Times New Roman"/>
          <w:sz w:val="32"/>
          <w:szCs w:val="32"/>
          <w14:ligatures w14:val="standardContextual"/>
        </w:rPr>
        <w:t>登录</w:t>
      </w:r>
      <w:r>
        <w:rPr>
          <w:rFonts w:hint="eastAsia" w:ascii="仿宋" w:hAnsi="仿宋" w:eastAsia="仿宋" w:cs="Times New Roman"/>
          <w:sz w:val="32"/>
          <w:szCs w:val="32"/>
          <w14:ligatures w14:val="standardContextual"/>
        </w:rPr>
        <w:t>石油和化工行业“十五五”规划教材指定申报平台</w:t>
      </w:r>
      <w:bookmarkStart w:id="5" w:name="_Hlk232163627"/>
      <w:r>
        <w:rPr>
          <w:rFonts w:ascii="仿宋" w:hAnsi="仿宋" w:eastAsia="仿宋" w:cs="Times New Roman"/>
          <w:sz w:val="32"/>
          <w:szCs w:val="32"/>
          <w14:ligatures w14:val="standardContextual"/>
        </w:rPr>
        <w:t>（网址：</w:t>
      </w:r>
      <w:r>
        <w:rPr>
          <w:rFonts w:hint="eastAsia" w:ascii="仿宋" w:hAnsi="仿宋" w:eastAsia="仿宋" w:cs="Times New Roman"/>
          <w:sz w:val="32"/>
          <w:szCs w:val="32"/>
          <w14:ligatures w14:val="standardContextual"/>
        </w:rPr>
        <w:t>ps.cipedu.com.cn</w:t>
      </w:r>
      <w:r>
        <w:rPr>
          <w:rFonts w:ascii="仿宋" w:hAnsi="仿宋" w:eastAsia="仿宋" w:cs="Times New Roman"/>
          <w:sz w:val="32"/>
          <w:szCs w:val="32"/>
          <w14:ligatures w14:val="standardContextual"/>
        </w:rPr>
        <w:t>）</w:t>
      </w:r>
      <w:bookmarkEnd w:id="4"/>
      <w:bookmarkEnd w:id="5"/>
      <w:r>
        <w:rPr>
          <w:rFonts w:ascii="仿宋" w:hAnsi="仿宋" w:eastAsia="仿宋" w:cs="Times New Roman"/>
          <w:sz w:val="32"/>
          <w:szCs w:val="32"/>
          <w14:ligatures w14:val="standardContextual"/>
        </w:rPr>
        <w:t>，完成账号</w:t>
      </w:r>
      <w:r>
        <w:rPr>
          <w:rFonts w:hint="eastAsia" w:ascii="仿宋" w:hAnsi="仿宋" w:eastAsia="仿宋" w:cs="Times New Roman"/>
          <w:sz w:val="32"/>
          <w:szCs w:val="32"/>
          <w14:ligatures w14:val="standardContextual"/>
        </w:rPr>
        <w:t>注册，在线填写基本信息后，在平台下载《石油和化工行业“十五五”规划教材申报表》（内容参见附件2）电子版由申报人完成全部申报信息填写，签署诚信承诺、申报单位填写推荐意见并加盖单位公章（限教务处、研究生院、科研处、二级学院公章）后，扫描为PDF文档上传申报平台并按要求上传其他附件。初审通过拟立项后的规划教材品种须在申报平台补充提交政审表。</w:t>
      </w:r>
    </w:p>
    <w:p w14:paraId="7368CD16">
      <w:pPr>
        <w:spacing w:line="560" w:lineRule="exact"/>
        <w:ind w:firstLine="640" w:firstLineChars="200"/>
        <w:rPr>
          <w:rFonts w:ascii="仿宋" w:hAnsi="仿宋" w:eastAsia="仿宋" w:cs="Times New Roman"/>
          <w:sz w:val="32"/>
          <w:szCs w:val="32"/>
          <w14:ligatures w14:val="standardContextual"/>
        </w:rPr>
      </w:pPr>
      <w:r>
        <w:rPr>
          <w:rFonts w:ascii="仿宋" w:hAnsi="仿宋" w:eastAsia="仿宋" w:cs="Times New Roman"/>
          <w:sz w:val="32"/>
          <w:szCs w:val="32"/>
          <w14:ligatures w14:val="standardContextual"/>
        </w:rPr>
        <w:t>2</w:t>
      </w:r>
      <w:r>
        <w:rPr>
          <w:rFonts w:hint="eastAsia" w:ascii="仿宋" w:hAnsi="仿宋" w:eastAsia="仿宋" w:cs="Times New Roman"/>
          <w:sz w:val="32"/>
          <w:szCs w:val="32"/>
          <w14:ligatures w14:val="standardContextual"/>
        </w:rPr>
        <w:t>.已出版教材申报，</w:t>
      </w:r>
      <w:r>
        <w:rPr>
          <w:rFonts w:ascii="仿宋" w:hAnsi="仿宋" w:eastAsia="仿宋" w:cs="Times New Roman"/>
          <w:sz w:val="32"/>
          <w:szCs w:val="32"/>
          <w14:ligatures w14:val="standardContextual"/>
        </w:rPr>
        <w:t>纸质教材</w:t>
      </w:r>
      <w:r>
        <w:rPr>
          <w:rFonts w:hint="eastAsia" w:ascii="仿宋" w:hAnsi="仿宋" w:eastAsia="仿宋" w:cs="Times New Roman"/>
          <w:sz w:val="32"/>
          <w:szCs w:val="32"/>
          <w14:ligatures w14:val="standardContextual"/>
        </w:rPr>
        <w:t>须</w:t>
      </w:r>
      <w:r>
        <w:rPr>
          <w:rFonts w:ascii="仿宋" w:hAnsi="仿宋" w:eastAsia="仿宋" w:cs="Times New Roman"/>
          <w:sz w:val="32"/>
          <w:szCs w:val="32"/>
          <w14:ligatures w14:val="standardContextual"/>
        </w:rPr>
        <w:t>上传最新印次的完整PDF电子版；数字教材填写能够查看全部教材内容的</w:t>
      </w:r>
      <w:r>
        <w:rPr>
          <w:rFonts w:hint="eastAsia" w:ascii="仿宋" w:hAnsi="仿宋" w:eastAsia="仿宋" w:cs="Times New Roman"/>
          <w:sz w:val="32"/>
          <w:szCs w:val="32"/>
          <w14:ligatures w14:val="standardContextual"/>
        </w:rPr>
        <w:t>有效访问</w:t>
      </w:r>
      <w:r>
        <w:rPr>
          <w:rFonts w:ascii="仿宋" w:hAnsi="仿宋" w:eastAsia="仿宋" w:cs="Times New Roman"/>
          <w:sz w:val="32"/>
          <w:szCs w:val="32"/>
          <w14:ligatures w14:val="standardContextual"/>
        </w:rPr>
        <w:t>链接地址、账号</w:t>
      </w:r>
      <w:r>
        <w:rPr>
          <w:rFonts w:hint="eastAsia" w:ascii="仿宋" w:hAnsi="仿宋" w:eastAsia="仿宋" w:cs="Times New Roman"/>
          <w:sz w:val="32"/>
          <w:szCs w:val="32"/>
          <w14:ligatures w14:val="standardContextual"/>
        </w:rPr>
        <w:t>等。</w:t>
      </w:r>
    </w:p>
    <w:p w14:paraId="1690B9E2">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3.选题立项申报，须上传编写大纲及样章，编写大纲（含三级标题）应当层级清晰、体系完整；样章需为一个完整章节，具有代表性，展现教材内容特点。</w:t>
      </w:r>
      <w:r>
        <w:rPr>
          <w:rFonts w:ascii="仿宋" w:hAnsi="仿宋" w:eastAsia="仿宋" w:cs="Times New Roman"/>
          <w:sz w:val="32"/>
          <w:szCs w:val="32"/>
          <w14:ligatures w14:val="standardContextual"/>
        </w:rPr>
        <w:t>纸质教材附带数字资源的，</w:t>
      </w:r>
      <w:r>
        <w:rPr>
          <w:rFonts w:hint="eastAsia" w:ascii="仿宋" w:hAnsi="仿宋" w:eastAsia="仿宋" w:cs="Times New Roman"/>
          <w:sz w:val="32"/>
          <w:szCs w:val="32"/>
          <w14:ligatures w14:val="standardContextual"/>
        </w:rPr>
        <w:t>可</w:t>
      </w:r>
      <w:r>
        <w:rPr>
          <w:rFonts w:ascii="仿宋" w:hAnsi="仿宋" w:eastAsia="仿宋" w:cs="Times New Roman"/>
          <w:sz w:val="32"/>
          <w:szCs w:val="32"/>
          <w14:ligatures w14:val="standardContextual"/>
        </w:rPr>
        <w:t>上传</w:t>
      </w:r>
      <w:r>
        <w:rPr>
          <w:rFonts w:hint="eastAsia" w:ascii="仿宋" w:hAnsi="仿宋" w:eastAsia="仿宋" w:cs="Times New Roman"/>
          <w:sz w:val="32"/>
          <w:szCs w:val="32"/>
          <w14:ligatures w14:val="standardContextual"/>
        </w:rPr>
        <w:t>2-3个资源样例。数字教材可提供能够完整查看样章内容的有效访问链接地址、账号等。</w:t>
      </w:r>
    </w:p>
    <w:p w14:paraId="4937D45D">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（二）纸质材料报送要求</w:t>
      </w:r>
    </w:p>
    <w:p w14:paraId="7DDAD5A3">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申报者按要求填写以上材料，将纸质盖章申报材料及附件一起装订成册（一份），</w:t>
      </w:r>
      <w:r>
        <w:rPr>
          <w:rFonts w:ascii="仿宋" w:hAnsi="仿宋" w:eastAsia="仿宋" w:cs="Times New Roman"/>
          <w:sz w:val="32"/>
          <w:szCs w:val="32"/>
          <w14:ligatures w14:val="standardContextual"/>
        </w:rPr>
        <w:t>同时，</w:t>
      </w:r>
      <w:r>
        <w:rPr>
          <w:rFonts w:hint="eastAsia" w:ascii="仿宋" w:hAnsi="仿宋" w:eastAsia="仿宋" w:cs="Times New Roman"/>
          <w:sz w:val="32"/>
          <w:szCs w:val="32"/>
          <w14:ligatures w14:val="standardContextual"/>
        </w:rPr>
        <w:t>已出版</w:t>
      </w:r>
      <w:r>
        <w:rPr>
          <w:rFonts w:ascii="仿宋" w:hAnsi="仿宋" w:eastAsia="仿宋" w:cs="Times New Roman"/>
          <w:sz w:val="32"/>
          <w:szCs w:val="32"/>
          <w14:ligatures w14:val="standardContextual"/>
        </w:rPr>
        <w:t>纸质教材</w:t>
      </w:r>
      <w:r>
        <w:rPr>
          <w:rFonts w:hint="eastAsia" w:ascii="仿宋" w:hAnsi="仿宋" w:eastAsia="仿宋" w:cs="Times New Roman"/>
          <w:sz w:val="32"/>
          <w:szCs w:val="32"/>
          <w14:ligatures w14:val="standardContextual"/>
        </w:rPr>
        <w:t>须</w:t>
      </w:r>
      <w:r>
        <w:rPr>
          <w:rFonts w:ascii="仿宋" w:hAnsi="仿宋" w:eastAsia="仿宋" w:cs="Times New Roman"/>
          <w:sz w:val="32"/>
          <w:szCs w:val="32"/>
          <w14:ligatures w14:val="standardContextual"/>
        </w:rPr>
        <w:t>提供</w:t>
      </w:r>
      <w:r>
        <w:rPr>
          <w:rFonts w:hint="eastAsia" w:ascii="仿宋" w:hAnsi="仿宋" w:eastAsia="仿宋" w:cs="Times New Roman"/>
          <w:sz w:val="32"/>
          <w:szCs w:val="32"/>
          <w14:ligatures w14:val="standardContextual"/>
        </w:rPr>
        <w:t>一本</w:t>
      </w:r>
      <w:r>
        <w:rPr>
          <w:rFonts w:ascii="仿宋" w:hAnsi="仿宋" w:eastAsia="仿宋" w:cs="Times New Roman"/>
          <w:sz w:val="32"/>
          <w:szCs w:val="32"/>
          <w14:ligatures w14:val="standardContextual"/>
        </w:rPr>
        <w:t>最新版次印次的样书</w:t>
      </w:r>
      <w:r>
        <w:rPr>
          <w:rFonts w:hint="eastAsia" w:ascii="仿宋" w:hAnsi="仿宋" w:eastAsia="仿宋" w:cs="Times New Roman"/>
          <w:sz w:val="32"/>
          <w:szCs w:val="32"/>
          <w14:ligatures w14:val="standardContextual"/>
        </w:rPr>
        <w:t>寄送到指定地址。</w:t>
      </w:r>
      <w:r>
        <w:rPr>
          <w:rFonts w:ascii="仿宋" w:hAnsi="仿宋" w:eastAsia="仿宋" w:cs="Times New Roman"/>
          <w:sz w:val="32"/>
          <w:szCs w:val="32"/>
          <w14:ligatures w14:val="standardContextual"/>
        </w:rPr>
        <w:t>函报材料须与</w:t>
      </w:r>
      <w:r>
        <w:rPr>
          <w:rFonts w:hint="eastAsia" w:ascii="仿宋" w:hAnsi="仿宋" w:eastAsia="仿宋" w:cs="Times New Roman"/>
          <w:sz w:val="32"/>
          <w:szCs w:val="32"/>
          <w14:ligatures w14:val="standardContextual"/>
        </w:rPr>
        <w:t>网上平台</w:t>
      </w:r>
      <w:r>
        <w:rPr>
          <w:rFonts w:ascii="仿宋" w:hAnsi="仿宋" w:eastAsia="仿宋" w:cs="Times New Roman"/>
          <w:sz w:val="32"/>
          <w:szCs w:val="32"/>
          <w14:ligatures w14:val="standardContextual"/>
        </w:rPr>
        <w:t>填报材料保持一致，否则不予受理。</w:t>
      </w:r>
    </w:p>
    <w:p w14:paraId="4F42D6F5">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邮寄地址：北京市东城区青年湖南街13号，收件人：王福洲1880147751</w:t>
      </w:r>
      <w:r>
        <w:rPr>
          <w:rFonts w:ascii="仿宋" w:hAnsi="仿宋" w:eastAsia="仿宋" w:cs="Times New Roman"/>
          <w:sz w:val="32"/>
          <w:szCs w:val="32"/>
          <w14:ligatures w14:val="standardContextual"/>
        </w:rPr>
        <w:t>0</w:t>
      </w:r>
      <w:r>
        <w:rPr>
          <w:rFonts w:hint="eastAsia" w:ascii="仿宋" w:hAnsi="仿宋" w:eastAsia="仿宋" w:cs="Times New Roman"/>
          <w:sz w:val="32"/>
          <w:szCs w:val="32"/>
          <w14:ligatures w14:val="standardContextual"/>
        </w:rPr>
        <w:t>。</w:t>
      </w:r>
    </w:p>
    <w:p w14:paraId="523D61E0">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网上申报及纸质材料报送提交时间（以寄出时间为准）按照当年发布的《关于开展石油和化工行业“十五五”规划教材建设工作的通知》要求，逾期不再受理。</w:t>
      </w:r>
    </w:p>
    <w:p w14:paraId="17E0A54B">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申报及评审由“石油和化工行业‘十五五’规划教材评审办公室”负责组织，联系人：王福洲010-64519251，于志岩010-64519162，王进宇010-64519630。</w:t>
      </w:r>
    </w:p>
    <w:p w14:paraId="2031FCB3">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（三）评审程序</w:t>
      </w:r>
    </w:p>
    <w:p w14:paraId="38B81953">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1.石油和化工行业“十五五”规划教材评审办公室负责整理申报材料并初审，按照申报教材的层次、专业、类型进行分类汇总。</w:t>
      </w:r>
    </w:p>
    <w:p w14:paraId="09B044C5">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2.由中国化工教育协会教材工作委员从专家库中选取专家成立评审组，于申报当年组织专家对教材进行评审并出具评审意见。</w:t>
      </w:r>
    </w:p>
    <w:p w14:paraId="4A4AF536">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3.结果审定。评审结果交中国化工教育协会审定。</w:t>
      </w:r>
    </w:p>
    <w:p w14:paraId="38ADE292">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（四）结果公布</w:t>
      </w:r>
    </w:p>
    <w:p w14:paraId="01D9DF99">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中国化工教育协会正式发文，公布“石油和化工行业‘十五五’规划教材”评审结果。</w:t>
      </w:r>
    </w:p>
    <w:p w14:paraId="1E639AEB">
      <w:pPr>
        <w:spacing w:line="560" w:lineRule="exact"/>
        <w:rPr>
          <w:rFonts w:ascii="仿宋" w:hAnsi="仿宋" w:eastAsia="仿宋" w:cs="Times New Roman"/>
          <w:b/>
          <w:bCs/>
          <w:sz w:val="32"/>
          <w:szCs w:val="32"/>
          <w14:ligatures w14:val="standardContextual"/>
        </w:rPr>
      </w:pPr>
      <w:r>
        <w:rPr>
          <w:rFonts w:hint="eastAsia" w:ascii="仿宋" w:hAnsi="仿宋" w:eastAsia="仿宋" w:cs="Times New Roman"/>
          <w:b/>
          <w:bCs/>
          <w:sz w:val="32"/>
          <w:szCs w:val="32"/>
          <w14:ligatures w14:val="standardContextual"/>
        </w:rPr>
        <w:t>六、其他说明</w:t>
      </w:r>
    </w:p>
    <w:p w14:paraId="6E3AF4E6">
      <w:pPr>
        <w:spacing w:line="560" w:lineRule="exact"/>
        <w:ind w:firstLine="640" w:firstLineChars="200"/>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立项为石油和化工行业“十五五”规划教材，将被优先推荐参加“十五五”国家级规划教材及国家级教材奖项的评选，在质量控制、出版进度、整体设计、评奖评优等方面给予重点支持。</w:t>
      </w:r>
    </w:p>
    <w:p w14:paraId="66D20FFE">
      <w:pPr>
        <w:spacing w:line="560" w:lineRule="exact"/>
        <w:jc w:val="left"/>
        <w:rPr>
          <w:rFonts w:ascii="仿宋" w:hAnsi="仿宋" w:eastAsia="仿宋" w:cs="Times New Roman"/>
          <w:sz w:val="32"/>
          <w:szCs w:val="32"/>
          <w14:ligatures w14:val="standardContextual"/>
        </w:rPr>
      </w:pPr>
    </w:p>
    <w:p w14:paraId="23BC679B">
      <w:pPr>
        <w:spacing w:line="560" w:lineRule="exact"/>
        <w:jc w:val="right"/>
        <w:rPr>
          <w:rFonts w:ascii="仿宋" w:hAnsi="仿宋" w:eastAsia="仿宋" w:cs="Times New Roman"/>
          <w:sz w:val="32"/>
          <w:szCs w:val="32"/>
          <w14:ligatures w14:val="standardContextual"/>
        </w:rPr>
      </w:pPr>
      <w:r>
        <w:rPr>
          <w:rFonts w:hint="eastAsia" w:ascii="仿宋" w:hAnsi="仿宋" w:eastAsia="仿宋" w:cs="Times New Roman"/>
          <w:sz w:val="32"/>
          <w:szCs w:val="32"/>
          <w14:ligatures w14:val="standardContextual"/>
        </w:rPr>
        <w:t>中国化工教育协会</w:t>
      </w:r>
    </w:p>
    <w:p w14:paraId="0DDF611B">
      <w:pPr>
        <w:spacing w:line="560" w:lineRule="exact"/>
        <w:jc w:val="right"/>
        <w:rPr>
          <w:rFonts w:ascii="仿宋" w:hAnsi="仿宋" w:eastAsia="仿宋" w:cs="Times New Roman"/>
          <w:sz w:val="32"/>
          <w:szCs w:val="32"/>
          <w14:ligatures w14:val="standardContextual"/>
        </w:rPr>
      </w:pPr>
      <w:r>
        <w:rPr>
          <w:rFonts w:ascii="仿宋" w:hAnsi="仿宋" w:eastAsia="仿宋" w:cs="Times New Roman"/>
          <w:sz w:val="32"/>
          <w:szCs w:val="32"/>
          <w14:ligatures w14:val="standardContextual"/>
        </w:rPr>
        <w:t>2026</w:t>
      </w:r>
      <w:r>
        <w:rPr>
          <w:rFonts w:hint="eastAsia" w:ascii="仿宋" w:hAnsi="仿宋" w:eastAsia="仿宋" w:cs="Times New Roman"/>
          <w:sz w:val="32"/>
          <w:szCs w:val="32"/>
          <w14:ligatures w14:val="standardContextual"/>
        </w:rPr>
        <w:t>年</w:t>
      </w:r>
      <w:r>
        <w:rPr>
          <w:rFonts w:ascii="仿宋" w:hAnsi="仿宋" w:eastAsia="仿宋" w:cs="Times New Roman"/>
          <w:sz w:val="32"/>
          <w:szCs w:val="32"/>
          <w14:ligatures w14:val="standardContextual"/>
        </w:rPr>
        <w:t>6</w:t>
      </w:r>
      <w:r>
        <w:rPr>
          <w:rFonts w:hint="eastAsia" w:ascii="仿宋" w:hAnsi="仿宋" w:eastAsia="仿宋" w:cs="Times New Roman"/>
          <w:sz w:val="32"/>
          <w:szCs w:val="32"/>
          <w14:ligatures w14:val="standardContextual"/>
        </w:rPr>
        <w:t>月</w:t>
      </w:r>
      <w:r>
        <w:rPr>
          <w:rFonts w:ascii="仿宋" w:hAnsi="仿宋" w:eastAsia="仿宋" w:cs="Times New Roman"/>
          <w:sz w:val="32"/>
          <w:szCs w:val="32"/>
          <w14:ligatures w14:val="standardContextual"/>
        </w:rPr>
        <w:t>17</w:t>
      </w:r>
      <w:r>
        <w:rPr>
          <w:rFonts w:hint="eastAsia" w:ascii="仿宋" w:hAnsi="仿宋" w:eastAsia="仿宋" w:cs="Times New Roman"/>
          <w:sz w:val="32"/>
          <w:szCs w:val="32"/>
          <w14:ligatures w14:val="standardContextual"/>
        </w:rPr>
        <w:t>日</w:t>
      </w:r>
    </w:p>
    <w:p w14:paraId="0B3E23AB"/>
    <w:sectPr>
      <w:pgSz w:w="11906" w:h="16838"/>
      <w:pgMar w:top="1418" w:right="1814" w:bottom="1134"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190"/>
    <w:rsid w:val="00717190"/>
    <w:rsid w:val="2A746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2958</Words>
  <Characters>3063</Characters>
  <Lines>22</Lines>
  <Paragraphs>6</Paragraphs>
  <TotalTime>0</TotalTime>
  <ScaleCrop>false</ScaleCrop>
  <LinksUpToDate>false</LinksUpToDate>
  <CharactersWithSpaces>3063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2026-06-17T00:44:00Z</dcterms:created>
  <dc:creator>本</dc:creator>
  <cp:lastModifiedBy>'WYQ</cp:lastModifiedBy>
  <dcterms:modified xsi:type="dcterms:W3CDTF">2026-06-25T03:00:36Z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eyJoZGlkIjoiYjZhZTk1ZjYxZTczYWI0ZTllZTExYzg2YzBiYjUzNGUiLCJ1c2VySWQiOiI1NTM3NzQ5MDMifQ==</vt:lpwstr>
  </property>
  <property fmtid="{D5CDD505-2E9C-101B-9397-08002B2CF9AE}" pid="3" name="KSOProductBuildVer">
    <vt:lpwstr>2052-12.1.0.26895</vt:lpwstr>
  </property>
  <property fmtid="{D5CDD505-2E9C-101B-9397-08002B2CF9AE}" pid="4" name="ICV">
    <vt:lpwstr>F141B67376B14BFCB53AFE38F1E33751_12</vt:lpwstr>
  </property>
</Properties>
</file>