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A9C84">
      <w:pPr>
        <w:adjustRightInd w:val="0"/>
        <w:snapToGrid w:val="0"/>
        <w:spacing w:line="560" w:lineRule="exact"/>
        <w:rPr>
          <w:rFonts w:ascii="仿宋_GB2312" w:hAnsi="黑体" w:eastAsia="仿宋_GB2312" w:cs="黑体"/>
          <w:b/>
          <w:bCs/>
          <w:spacing w:val="-5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pacing w:val="-5"/>
          <w:sz w:val="32"/>
          <w:szCs w:val="32"/>
        </w:rPr>
        <w:t>附件</w:t>
      </w:r>
      <w:r>
        <w:rPr>
          <w:rFonts w:hint="eastAsia" w:ascii="仿宋_GB2312" w:hAnsi="黑体" w:eastAsia="仿宋_GB2312" w:cs="黑体"/>
          <w:b/>
          <w:bCs/>
          <w:spacing w:val="-5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黑体" w:eastAsia="仿宋_GB2312" w:cs="黑体"/>
          <w:b/>
          <w:bCs/>
          <w:spacing w:val="-5"/>
          <w:sz w:val="32"/>
          <w:szCs w:val="32"/>
        </w:rPr>
        <w:t>：</w:t>
      </w:r>
    </w:p>
    <w:p w14:paraId="68D3470C">
      <w:pPr>
        <w:adjustRightInd w:val="0"/>
        <w:snapToGrid w:val="0"/>
        <w:spacing w:line="56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北京市教育科学“十五五”规划</w:t>
      </w:r>
    </w:p>
    <w:p w14:paraId="0C598210">
      <w:pPr>
        <w:adjustRightInd w:val="0"/>
        <w:snapToGrid w:val="0"/>
        <w:spacing w:line="56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ascii="方正小标宋简体" w:hAnsi="Calibri" w:eastAsia="方正小标宋简体"/>
          <w:sz w:val="44"/>
          <w:szCs w:val="44"/>
        </w:rPr>
        <w:t>2026年度课题指南</w:t>
      </w:r>
    </w:p>
    <w:p w14:paraId="60DF4619">
      <w:pPr>
        <w:adjustRightInd w:val="0"/>
        <w:snapToGrid w:val="0"/>
        <w:spacing w:line="560" w:lineRule="exact"/>
        <w:ind w:firstLine="720" w:firstLineChars="200"/>
        <w:rPr>
          <w:rFonts w:ascii="仿宋_GB2312" w:eastAsia="仿宋_GB2312"/>
          <w:spacing w:val="20"/>
          <w:sz w:val="32"/>
          <w:szCs w:val="32"/>
        </w:rPr>
      </w:pPr>
    </w:p>
    <w:p w14:paraId="70912650">
      <w:pPr>
        <w:adjustRightInd w:val="0"/>
        <w:snapToGrid w:val="0"/>
        <w:spacing w:line="560" w:lineRule="exact"/>
        <w:ind w:firstLine="720" w:firstLineChars="200"/>
        <w:rPr>
          <w:rFonts w:ascii="仿宋_GB2312" w:eastAsia="仿宋_GB2312"/>
          <w:spacing w:val="1"/>
          <w:sz w:val="32"/>
          <w:szCs w:val="32"/>
        </w:rPr>
      </w:pPr>
      <w:r>
        <w:rPr>
          <w:rFonts w:hint="eastAsia" w:ascii="仿宋_GB2312" w:eastAsia="仿宋_GB2312"/>
          <w:spacing w:val="20"/>
          <w:sz w:val="32"/>
          <w:szCs w:val="32"/>
        </w:rPr>
        <w:t>为学习贯彻党的二十大和二十届历次全会精神，</w:t>
      </w:r>
      <w:r>
        <w:rPr>
          <w:rFonts w:hint="eastAsia" w:ascii="仿宋_GB2312" w:eastAsia="仿宋_GB2312"/>
          <w:spacing w:val="8"/>
          <w:sz w:val="32"/>
          <w:szCs w:val="32"/>
        </w:rPr>
        <w:t>深入贯彻全国、全市教育大会精神，</w:t>
      </w:r>
      <w:r>
        <w:rPr>
          <w:rFonts w:hint="eastAsia" w:ascii="仿宋_GB2312" w:eastAsia="仿宋_GB2312"/>
          <w:bCs/>
          <w:sz w:val="32"/>
          <w:szCs w:val="32"/>
        </w:rPr>
        <w:t>牢牢把握</w:t>
      </w:r>
      <w:r>
        <w:rPr>
          <w:rFonts w:hint="eastAsia" w:ascii="仿宋_GB2312" w:eastAsia="仿宋_GB2312"/>
          <w:spacing w:val="12"/>
          <w:sz w:val="32"/>
          <w:szCs w:val="32"/>
          <w:shd w:val="clear" w:color="auto" w:fill="FFFFFF"/>
        </w:rPr>
        <w:t>教育的政治属性、人民属性、战略属性，</w:t>
      </w:r>
      <w:r>
        <w:rPr>
          <w:rFonts w:hint="eastAsia" w:ascii="仿宋_GB2312" w:eastAsia="仿宋_GB2312"/>
          <w:sz w:val="32"/>
          <w:szCs w:val="32"/>
          <w:lang w:bidi="ar"/>
        </w:rPr>
        <w:t>落实</w:t>
      </w:r>
      <w:r>
        <w:rPr>
          <w:rFonts w:hint="eastAsia" w:ascii="仿宋_GB2312" w:eastAsia="仿宋_GB2312"/>
          <w:sz w:val="32"/>
          <w:szCs w:val="32"/>
        </w:rPr>
        <w:t>《教育强国建设规划纲要（2024—2035年）》部署和北京市贯彻实施方案及三年行动计划要求，以新域新质推动教育高质量发展</w:t>
      </w:r>
      <w:r>
        <w:rPr>
          <w:rFonts w:hint="eastAsia" w:ascii="仿宋_GB2312" w:eastAsia="仿宋_GB2312"/>
          <w:bCs/>
          <w:sz w:val="32"/>
          <w:szCs w:val="32"/>
          <w:lang w:bidi="ar"/>
        </w:rPr>
        <w:t>，</w:t>
      </w:r>
      <w:r>
        <w:rPr>
          <w:rStyle w:val="5"/>
          <w:rFonts w:hint="eastAsia" w:ascii="仿宋_GB2312" w:eastAsia="仿宋_GB2312"/>
          <w:bCs/>
          <w:sz w:val="32"/>
          <w:szCs w:val="32"/>
        </w:rPr>
        <w:t>扎实推进</w:t>
      </w:r>
      <w:r>
        <w:rPr>
          <w:rFonts w:hint="eastAsia" w:ascii="仿宋_GB2312" w:eastAsia="仿宋_GB2312"/>
          <w:sz w:val="32"/>
          <w:szCs w:val="32"/>
        </w:rPr>
        <w:t>教育强国首善之区</w:t>
      </w:r>
      <w:r>
        <w:rPr>
          <w:rStyle w:val="5"/>
          <w:rFonts w:hint="eastAsia" w:ascii="仿宋_GB2312" w:eastAsia="仿宋_GB2312"/>
          <w:bCs/>
          <w:sz w:val="32"/>
          <w:szCs w:val="32"/>
        </w:rPr>
        <w:t>建设，</w:t>
      </w:r>
      <w:r>
        <w:rPr>
          <w:rFonts w:hint="eastAsia" w:ascii="仿宋_GB2312" w:eastAsia="仿宋_GB2312"/>
          <w:spacing w:val="20"/>
          <w:sz w:val="32"/>
          <w:szCs w:val="32"/>
        </w:rPr>
        <w:t>制</w:t>
      </w:r>
      <w:r>
        <w:rPr>
          <w:rFonts w:hint="eastAsia" w:ascii="仿宋_GB2312" w:eastAsia="仿宋_GB2312"/>
          <w:spacing w:val="1"/>
          <w:sz w:val="32"/>
          <w:szCs w:val="32"/>
        </w:rPr>
        <w:t>定本年度规划课题指南。</w:t>
      </w:r>
    </w:p>
    <w:p w14:paraId="0B77C739">
      <w:pPr>
        <w:widowControl/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一、重大课题</w:t>
      </w:r>
    </w:p>
    <w:p w14:paraId="0D228870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1.教育强国背景下的首都教育新质态研究</w:t>
      </w:r>
    </w:p>
    <w:p w14:paraId="00D8E30B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2.首都统筹推进教育科技人才一体化发展的战略研究</w:t>
      </w:r>
    </w:p>
    <w:p w14:paraId="1B8AD2DF">
      <w:pPr>
        <w:widowControl/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二、优先关注课题</w:t>
      </w:r>
    </w:p>
    <w:p w14:paraId="37C87F7E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1.北京市中考改革效能评估研究</w:t>
      </w:r>
    </w:p>
    <w:p w14:paraId="21CFD8E2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2.首都基础教育扩优提质的政策与路径研究</w:t>
      </w:r>
    </w:p>
    <w:p w14:paraId="3DC018A3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3.北京市推动托幼一体化实践路径研究</w:t>
      </w:r>
    </w:p>
    <w:p w14:paraId="0D7E0A72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4.促进思政课堂和社会课堂有效融合研究</w:t>
      </w:r>
    </w:p>
    <w:p w14:paraId="37637A1A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5.首都基础教育新型集团化办学成效评估研究</w:t>
      </w:r>
    </w:p>
    <w:p w14:paraId="7E50043E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6.北京市属高校分类卓越发展路径研究</w:t>
      </w:r>
    </w:p>
    <w:p w14:paraId="5EBFC5B1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7.首都高校促进新质生产力发展的监测指标体系构建研究</w:t>
      </w:r>
    </w:p>
    <w:p w14:paraId="7E100B36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8.聚焦新域新质的高等教育人才培养模式研究</w:t>
      </w:r>
    </w:p>
    <w:p w14:paraId="488B16BF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9.“五育融合”视域下学科美育的实施路径研究</w:t>
      </w:r>
    </w:p>
    <w:p w14:paraId="1AF4683E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10.推进未成年人思想道德建设的实践研究</w:t>
      </w:r>
    </w:p>
    <w:p w14:paraId="2D4FD79C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 xml:space="preserve">11.指向创新人才培养的中小学课堂教学变革研究 </w:t>
      </w:r>
    </w:p>
    <w:p w14:paraId="6B0F4147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12.多方协同支持中小学科技教育的机制与路径研究</w:t>
      </w:r>
    </w:p>
    <w:p w14:paraId="4348372E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13.基于学生实际获得的教育综合督导评估研究</w:t>
      </w:r>
    </w:p>
    <w:p w14:paraId="4479B940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14.生成式人工智能对学生认知能力的影响及应用模式研究</w:t>
      </w:r>
    </w:p>
    <w:p w14:paraId="0CC4A86A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15.新时代教师人工智能素养提升策略研究</w:t>
      </w:r>
    </w:p>
    <w:p w14:paraId="6F7DAE04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16.人机协同教研的实践模式与效果评估研究</w:t>
      </w:r>
    </w:p>
    <w:p w14:paraId="4389C28B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17.人工智能背景下青少年语言文化素养提升的策略与路径研究</w:t>
      </w:r>
    </w:p>
    <w:p w14:paraId="16F92857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18.新时期大学生身心健康现状、影响因素及改进策略研究</w:t>
      </w:r>
    </w:p>
    <w:p w14:paraId="6F8D3CE9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spacing w:val="8"/>
          <w:kern w:val="0"/>
          <w:sz w:val="32"/>
          <w:szCs w:val="32"/>
          <w:lang w:bidi="ar"/>
        </w:rPr>
        <w:t>19.职业本科关键办学能力研究</w:t>
      </w:r>
    </w:p>
    <w:p w14:paraId="1866B666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20.北京市社区（村）未来学习中心建设可行性及推进策略研究</w:t>
      </w:r>
    </w:p>
    <w:p w14:paraId="3770355B">
      <w:pPr>
        <w:widowControl/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三、临时专项课题</w:t>
      </w:r>
    </w:p>
    <w:p w14:paraId="66BBB6C7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spacing w:val="8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本年度设置“大中小学人工智能通识课”专项课题，不设具体指南，申报者需结合首都教育教学实际，选择全市大中小学（含职业教育中、高、本）的某个学段，自主设计研究题目，解决不同教育学段、不同教育类型开设“人工智能通识课”的目标定位、内容设置和教学方式，为决策者提供政策咨询。鼓励教育科研人员和一线教育工作者申报。本专项参照重点课题进行管理和资助。</w:t>
      </w:r>
    </w:p>
    <w:p w14:paraId="4A5FDE83">
      <w:pPr>
        <w:widowControl/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四、自主选题领域</w:t>
      </w:r>
    </w:p>
    <w:p w14:paraId="5AE828D8">
      <w:pPr>
        <w:numPr>
          <w:ilvl w:val="255"/>
          <w:numId w:val="0"/>
        </w:numPr>
        <w:adjustRightInd w:val="0"/>
        <w:snapToGrid w:val="0"/>
        <w:spacing w:line="560" w:lineRule="exact"/>
        <w:ind w:firstLine="672" w:firstLineChars="200"/>
        <w:rPr>
          <w:rFonts w:ascii="仿宋_GB2312" w:eastAsia="仿宋_GB2312"/>
          <w:color w:val="000000"/>
          <w:spacing w:val="8"/>
          <w:kern w:val="0"/>
          <w:sz w:val="32"/>
          <w:szCs w:val="32"/>
          <w:lang w:bidi="ar"/>
        </w:rPr>
      </w:pPr>
      <w:r>
        <w:rPr>
          <w:rFonts w:hint="eastAsia" w:ascii="仿宋_GB2312" w:eastAsia="仿宋_GB2312"/>
          <w:color w:val="000000"/>
          <w:spacing w:val="8"/>
          <w:kern w:val="0"/>
          <w:sz w:val="32"/>
          <w:szCs w:val="32"/>
          <w:lang w:bidi="ar"/>
        </w:rPr>
        <w:t>本年度重点课题、校本研究专项课题、青年专项课题、延续课题、一般课题不设具体指南，研究者可自主确定研究题目，鼓励协同研究，鼓励教育基本理论研究与决策咨询研究。</w:t>
      </w:r>
    </w:p>
    <w:p w14:paraId="024B86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3E2140-73AF-4FB0-9825-E5FCDDCF3D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B0B5D26-F9B4-49F0-A084-85A8E220F65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5580BC19-2A4A-46CA-A312-7FBE4CE946F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AE2533C8-59D1-49C4-B981-BE73047B96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ED6EDD0F-CE30-4E02-BFD0-B667B44DD65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92"/>
    <w:rsid w:val="00814792"/>
    <w:rsid w:val="27F0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autoRedefine/>
    <w:semiHidden/>
    <w:unhideWhenUsed/>
    <w:qFormat/>
    <w:uiPriority w:val="39"/>
    <w:pPr>
      <w:ind w:left="840" w:leftChars="400"/>
    </w:pPr>
  </w:style>
  <w:style w:type="character" w:customStyle="1" w:styleId="5">
    <w:name w:val="NormalCharacter"/>
    <w:link w:val="6"/>
    <w:qFormat/>
    <w:uiPriority w:val="0"/>
    <w:rPr>
      <w:rFonts w:ascii="Calibri" w:hAnsi="Calibri" w:cs="黑体"/>
    </w:rPr>
  </w:style>
  <w:style w:type="paragraph" w:customStyle="1" w:styleId="6">
    <w:name w:val="UserStyle_4"/>
    <w:basedOn w:val="1"/>
    <w:link w:val="5"/>
    <w:qFormat/>
    <w:uiPriority w:val="0"/>
    <w:pPr>
      <w:widowControl/>
      <w:kinsoku w:val="0"/>
      <w:autoSpaceDE w:val="0"/>
      <w:autoSpaceDN w:val="0"/>
      <w:adjustRightInd w:val="0"/>
      <w:snapToGrid w:val="0"/>
      <w:spacing w:after="160" w:line="240" w:lineRule="exact"/>
      <w:jc w:val="left"/>
      <w:textAlignment w:val="baseline"/>
    </w:pPr>
    <w:rPr>
      <w:rFonts w:ascii="Calibri" w:hAnsi="Calibri" w:cs="黑体" w:eastAsiaTheme="minorEastAsia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892</Words>
  <Characters>934</Characters>
  <Lines>6</Lines>
  <Paragraphs>1</Paragraphs>
  <TotalTime>0</TotalTime>
  <ScaleCrop>false</ScaleCrop>
  <LinksUpToDate>false</LinksUpToDate>
  <CharactersWithSpaces>935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2026-03-02T02:01:00Z</dcterms:created>
  <dc:creator>admin</dc:creator>
  <cp:lastModifiedBy>玲羽</cp:lastModifiedBy>
  <dcterms:modified xsi:type="dcterms:W3CDTF">2026-03-09T03:05:10Z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eyJoZGlkIjoiMWUyNjkxNDZlOTlkYjNiN2YyY2M1N2E0ZTFkNTNmNDYiLCJ1c2VySWQiOiI2MDIzMzYxODIifQ==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57939E8CB9C84226BA4EFB9A0EE1496E_12</vt:lpwstr>
  </property>
</Properties>
</file>