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60" w:lineRule="exac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附件1</w:t>
      </w:r>
    </w:p>
    <w:p>
      <w:pPr>
        <w:widowControl/>
        <w:suppressAutoHyphens/>
        <w:spacing w:line="560" w:lineRule="exact"/>
        <w:rPr>
          <w:rFonts w:hint="eastAsia" w:ascii="黑体" w:hAnsi="黑体" w:eastAsia="黑体"/>
          <w:kern w:val="0"/>
          <w:szCs w:val="32"/>
        </w:rPr>
      </w:pP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Calibri" w:eastAsia="方正小标宋简体"/>
          <w:sz w:val="44"/>
          <w:szCs w:val="44"/>
        </w:rPr>
        <w:t>北京高校优质本科课程</w:t>
      </w: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一般项目推荐限额表</w:t>
      </w:r>
      <w:bookmarkEnd w:id="0"/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</w:p>
    <w:tbl>
      <w:tblPr>
        <w:tblStyle w:val="2"/>
        <w:tblW w:w="635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3792"/>
        <w:gridCol w:w="1701"/>
      </w:tblGrid>
      <w:tr>
        <w:trPr>
          <w:trHeight w:val="285" w:hRule="atLeast"/>
          <w:tblHeader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3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课程限额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中国人民大学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清华大学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北京交通大学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北京科技大学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北京化工大学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北京邮电大学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中国农业大学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北京林业大学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北京中医药大学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北京师范大学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北京外国语大学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北京语言大学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中国传媒大学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中央财经大学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对外经济贸易大学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国际关系学院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中央音乐学院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中央美术学院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中央戏剧学院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中国政法大学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华北电力大学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中国矿业大学（北京）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中国石油大学（北京）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中国地质大学（北京）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北京航空航天大学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北京理工大学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北京电子科技学院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北京协和医学院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外交学院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中国人民公安大学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北京体育大学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中央民族大学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中华女子学院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中国劳动关系学院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中国科学院大学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中国社会科学院大学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中国消防救援学院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北京工业大学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北方工业大学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北京工商大学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北京服装学院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北京印刷学院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北京建筑大学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北京石油化工学院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北京农学院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首都医科大学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首都师范大学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首都体育学院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北京第二外国语学院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北京物资学院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首都经济贸易大学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中国音乐学院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中国戏曲学院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北京电影学院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北京舞蹈学院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北京信息科技大学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北京联合大学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北京警察学院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北京城市学院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首都师范大学科德学院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北京金融科技学院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北京邮电大学世纪学院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北京工业大学耿丹学院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3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北京第二外国语学院</w:t>
            </w:r>
          </w:p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中瑞酒店管理学院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10071ACC"/>
    <w:rsid w:val="10071ACC"/>
    <w:rsid w:val="204607B7"/>
    <w:rsid w:val="7B0A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2024-06-07T02:18:00Z</dcterms:created>
  <dc:creator>苏坡云☁️</dc:creator>
  <cp:lastModifiedBy>苏坡云☁️</cp:lastModifiedBy>
  <dcterms:modified xsi:type="dcterms:W3CDTF">2024-06-07T02:19:28Z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85BADF11B1C54D0FBC6AEE1D51ADE21C_13</vt:lpwstr>
  </property>
</Properties>
</file>