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53B8C3">
      <w:pPr>
        <w:jc w:val="center"/>
        <w:rPr>
          <w:rFonts w:hint="eastAsia" w:ascii="微软雅黑" w:hAnsi="微软雅黑" w:eastAsia="微软雅黑" w:cs="微软雅黑"/>
          <w:sz w:val="72"/>
          <w:szCs w:val="72"/>
        </w:rPr>
      </w:pPr>
      <w:r>
        <w:rPr>
          <w:rFonts w:hint="eastAsia" w:ascii="微软雅黑" w:hAnsi="微软雅黑" w:eastAsia="微软雅黑" w:cs="微软雅黑"/>
          <w:sz w:val="44"/>
          <w:szCs w:val="44"/>
          <w:lang w:eastAsia="zh-CN"/>
        </w:rPr>
        <w:drawing>
          <wp:inline distT="0" distB="0" distL="114300" distR="114300">
            <wp:extent cx="5268595" cy="3723640"/>
            <wp:effectExtent l="0" t="0" r="8255" b="10160"/>
            <wp:docPr id="2" name="图片 2" descr="北京石油化工学院标最终版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北京石油化工学院标最终版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723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5869D3">
      <w:pPr>
        <w:jc w:val="center"/>
        <w:outlineLvl w:val="0"/>
        <w:rPr>
          <w:rFonts w:hint="default" w:ascii="微软雅黑" w:hAnsi="微软雅黑" w:eastAsia="微软雅黑" w:cs="微软雅黑"/>
          <w:sz w:val="60"/>
          <w:szCs w:val="60"/>
          <w:lang w:val="en-US" w:eastAsia="zh-CN"/>
        </w:rPr>
      </w:pPr>
      <w:bookmarkStart w:id="0" w:name="_Toc15898"/>
      <w:r>
        <w:rPr>
          <w:rFonts w:hint="eastAsia" w:ascii="微软雅黑" w:hAnsi="微软雅黑" w:eastAsia="微软雅黑" w:cs="微软雅黑"/>
          <w:sz w:val="60"/>
          <w:szCs w:val="60"/>
          <w:lang w:val="en-US" w:eastAsia="zh-CN"/>
        </w:rPr>
        <w:t>教学质量监控与评价平台</w:t>
      </w:r>
      <w:bookmarkEnd w:id="0"/>
    </w:p>
    <w:p w14:paraId="66B536D8">
      <w:pPr>
        <w:jc w:val="center"/>
        <w:rPr>
          <w:rFonts w:hint="eastAsia" w:ascii="微软雅黑" w:hAnsi="微软雅黑" w:eastAsia="微软雅黑" w:cs="微软雅黑"/>
          <w:sz w:val="56"/>
          <w:szCs w:val="56"/>
        </w:rPr>
      </w:pPr>
      <w:r>
        <w:rPr>
          <w:rFonts w:hint="eastAsia" w:ascii="微软雅黑" w:hAnsi="微软雅黑" w:eastAsia="微软雅黑" w:cs="微软雅黑"/>
          <w:sz w:val="56"/>
          <w:szCs w:val="56"/>
          <w:lang w:val="en-US" w:eastAsia="zh-CN"/>
        </w:rPr>
        <w:t>操作</w:t>
      </w:r>
      <w:r>
        <w:rPr>
          <w:rFonts w:hint="eastAsia" w:ascii="微软雅黑" w:hAnsi="微软雅黑" w:eastAsia="微软雅黑" w:cs="微软雅黑"/>
          <w:sz w:val="56"/>
          <w:szCs w:val="56"/>
        </w:rPr>
        <w:t>手册</w:t>
      </w:r>
    </w:p>
    <w:p w14:paraId="792A8464">
      <w:pPr>
        <w:jc w:val="center"/>
        <w:rPr>
          <w:rFonts w:hint="eastAsia" w:ascii="微软雅黑" w:hAnsi="微软雅黑" w:eastAsia="微软雅黑" w:cs="微软雅黑"/>
          <w:sz w:val="44"/>
          <w:szCs w:val="44"/>
        </w:rPr>
      </w:pPr>
      <w:r>
        <w:rPr>
          <w:rFonts w:hint="default" w:ascii="微软雅黑" w:hAnsi="微软雅黑" w:eastAsia="微软雅黑" w:cs="微软雅黑"/>
          <w:sz w:val="44"/>
          <w:szCs w:val="44"/>
        </w:rPr>
        <w:t>（</w:t>
      </w: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教师同行</w:t>
      </w:r>
      <w:r>
        <w:rPr>
          <w:rFonts w:hint="default" w:ascii="微软雅黑" w:hAnsi="微软雅黑" w:eastAsia="微软雅黑" w:cs="微软雅黑"/>
          <w:sz w:val="44"/>
          <w:szCs w:val="44"/>
        </w:rPr>
        <w:t>篇）</w:t>
      </w:r>
    </w:p>
    <w:p w14:paraId="3211129C">
      <w:pPr>
        <w:jc w:val="both"/>
        <w:rPr>
          <w:rFonts w:hint="eastAsia" w:ascii="微软雅黑" w:hAnsi="微软雅黑" w:eastAsia="微软雅黑" w:cs="微软雅黑"/>
          <w:sz w:val="72"/>
          <w:szCs w:val="72"/>
        </w:rPr>
      </w:pPr>
    </w:p>
    <w:p w14:paraId="726F1019">
      <w:pPr>
        <w:jc w:val="both"/>
        <w:rPr>
          <w:rFonts w:hint="eastAsia" w:ascii="微软雅黑" w:hAnsi="微软雅黑" w:eastAsia="微软雅黑" w:cs="微软雅黑"/>
          <w:sz w:val="72"/>
          <w:szCs w:val="72"/>
        </w:rPr>
      </w:pPr>
    </w:p>
    <w:p w14:paraId="306EBCD8">
      <w:pPr>
        <w:jc w:val="center"/>
        <w:rPr>
          <w:rFonts w:hint="default" w:ascii="微软雅黑" w:hAnsi="微软雅黑" w:eastAsia="微软雅黑" w:cs="微软雅黑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教务处 教学质量监控办公室</w:t>
      </w:r>
    </w:p>
    <w:p w14:paraId="3228F44D">
      <w:pPr>
        <w:jc w:val="center"/>
        <w:rPr>
          <w:rFonts w:hint="eastAsia" w:ascii="微软雅黑" w:hAnsi="微软雅黑" w:eastAsia="微软雅黑" w:cs="微软雅黑"/>
          <w:sz w:val="28"/>
          <w:szCs w:val="28"/>
        </w:rPr>
      </w:pPr>
      <w:r>
        <w:rPr>
          <w:rFonts w:hint="eastAsia" w:ascii="微软雅黑" w:hAnsi="微软雅黑" w:eastAsia="微软雅黑" w:cs="微软雅黑"/>
          <w:sz w:val="28"/>
          <w:szCs w:val="28"/>
        </w:rPr>
        <w:t>202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sz w:val="28"/>
          <w:szCs w:val="28"/>
        </w:rPr>
        <w:t>年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08</w:t>
      </w:r>
      <w:r>
        <w:rPr>
          <w:rFonts w:hint="eastAsia" w:ascii="微软雅黑" w:hAnsi="微软雅黑" w:eastAsia="微软雅黑" w:cs="微软雅黑"/>
          <w:sz w:val="28"/>
          <w:szCs w:val="28"/>
        </w:rPr>
        <w:t>月</w: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28</w:t>
      </w:r>
      <w:r>
        <w:rPr>
          <w:rFonts w:hint="eastAsia" w:ascii="微软雅黑" w:hAnsi="微软雅黑" w:eastAsia="微软雅黑" w:cs="微软雅黑"/>
          <w:sz w:val="28"/>
          <w:szCs w:val="28"/>
        </w:rPr>
        <w:t>日</w:t>
      </w:r>
    </w:p>
    <w:p w14:paraId="55AC064F">
      <w:pPr>
        <w:jc w:val="center"/>
        <w:rPr>
          <w:rFonts w:hint="eastAsia" w:ascii="微软雅黑" w:hAnsi="微软雅黑" w:eastAsia="微软雅黑" w:cs="微软雅黑"/>
          <w:sz w:val="28"/>
          <w:szCs w:val="28"/>
        </w:rPr>
      </w:pPr>
    </w:p>
    <w:sdt>
      <w:sdt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  <w:id w:val="147470900"/>
        <w15:color w:val="DBDBDB"/>
        <w:docPartObj>
          <w:docPartGallery w:val="Table of Contents"/>
          <w:docPartUnique/>
        </w:docPartObj>
      </w:sdtPr>
      <w:sdtEndPr>
        <w:rPr>
          <w:rFonts w:hint="default" w:ascii="微软雅黑" w:hAnsi="微软雅黑" w:eastAsia="微软雅黑" w:cs="微软雅黑"/>
          <w:b/>
          <w:bCs/>
          <w:kern w:val="2"/>
          <w:sz w:val="44"/>
          <w:szCs w:val="32"/>
          <w:lang w:val="en-US" w:eastAsia="zh-CN" w:bidi="ar-SA"/>
        </w:rPr>
      </w:sdtEndPr>
      <w:sdtContent>
        <w:p w14:paraId="524A4274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</w:pPr>
          <w:r>
            <w:rPr>
              <w:rFonts w:ascii="宋体" w:hAnsi="宋体" w:eastAsia="宋体"/>
              <w:sz w:val="21"/>
            </w:rPr>
            <w:t>目录</w:t>
          </w:r>
        </w:p>
        <w:p w14:paraId="01111990">
          <w:pPr>
            <w:pStyle w:val="8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/>
              <w:bCs/>
              <w:kern w:val="2"/>
              <w:sz w:val="3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/>
              <w:bCs/>
              <w:kern w:val="2"/>
              <w:sz w:val="32"/>
              <w:szCs w:val="32"/>
              <w:lang w:eastAsia="zh-CN" w:bidi="ar-SA"/>
            </w:rPr>
            <w:instrText xml:space="preserve">TOC \o "1-3" \h \u </w:instrText>
          </w:r>
          <w:r>
            <w:rPr>
              <w:rFonts w:hint="default" w:ascii="微软雅黑" w:hAnsi="微软雅黑" w:eastAsia="微软雅黑" w:cs="微软雅黑"/>
              <w:b/>
              <w:bCs/>
              <w:kern w:val="2"/>
              <w:sz w:val="32"/>
              <w:szCs w:val="32"/>
              <w:lang w:eastAsia="zh-CN" w:bidi="ar-SA"/>
            </w:rPr>
            <w:fldChar w:fldCharType="separate"/>
          </w:r>
        </w:p>
        <w:p w14:paraId="60B4E9CB">
          <w:pPr>
            <w:pStyle w:val="8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_Toc2113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Cs w:val="32"/>
              <w:lang w:val="en-US" w:eastAsia="zh-CN" w:bidi="ar-SA"/>
            </w:rPr>
            <w:t>一、企业微信小程序</w:t>
          </w:r>
          <w:r>
            <w:tab/>
          </w:r>
          <w:r>
            <w:fldChar w:fldCharType="begin"/>
          </w:r>
          <w:r>
            <w:instrText xml:space="preserve"> PAGEREF _Toc2113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31285A5C">
          <w:pPr>
            <w:pStyle w:val="9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_Toc8229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Cs w:val="32"/>
              <w:lang w:val="en-US" w:eastAsia="zh-CN" w:bidi="ar-SA"/>
            </w:rPr>
            <w:t>1.1企业微信小程序</w: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t>登录</w:t>
          </w:r>
          <w:r>
            <w:tab/>
          </w:r>
          <w:r>
            <w:fldChar w:fldCharType="begin"/>
          </w:r>
          <w:r>
            <w:instrText xml:space="preserve"> PAGEREF _Toc8229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1A81504C">
          <w:pPr>
            <w:pStyle w:val="9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_Toc6497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Cs w:val="32"/>
              <w:lang w:val="en-US" w:eastAsia="zh-CN" w:bidi="ar-SA"/>
            </w:rPr>
            <w:t>1.2 同行听课评价</w:t>
          </w:r>
          <w:r>
            <w:tab/>
          </w:r>
          <w:r>
            <w:fldChar w:fldCharType="begin"/>
          </w:r>
          <w:r>
            <w:instrText xml:space="preserve"> PAGEREF _Toc6497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6F4420AA">
          <w:pPr>
            <w:pStyle w:val="8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_Toc16166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Cs w:val="32"/>
              <w:lang w:val="en-US" w:eastAsia="zh-CN" w:bidi="ar-SA"/>
            </w:rPr>
            <w:t>二</w: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t>、</w:t>
          </w:r>
          <w:r>
            <w:rPr>
              <w:rFonts w:hint="eastAsia" w:ascii="微软雅黑" w:hAnsi="微软雅黑" w:eastAsia="微软雅黑" w:cs="微软雅黑"/>
              <w:bCs/>
              <w:kern w:val="2"/>
              <w:szCs w:val="32"/>
              <w:lang w:val="en-US" w:eastAsia="zh-CN" w:bidi="ar-SA"/>
            </w:rPr>
            <w:t>PC端</w:t>
          </w:r>
          <w:r>
            <w:tab/>
          </w:r>
          <w:r>
            <w:fldChar w:fldCharType="begin"/>
          </w:r>
          <w:r>
            <w:instrText xml:space="preserve"> PAGEREF _Toc16166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63DE07BB">
          <w:pPr>
            <w:pStyle w:val="9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_Toc23770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Cs w:val="28"/>
              <w:lang w:val="en-US" w:eastAsia="zh-CN"/>
            </w:rPr>
            <w:t>2.1 PC端登录</w:t>
          </w:r>
          <w:r>
            <w:tab/>
          </w:r>
          <w:r>
            <w:fldChar w:fldCharType="begin"/>
          </w:r>
          <w:r>
            <w:instrText xml:space="preserve"> PAGEREF _Toc23770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2136BE8A">
          <w:pPr>
            <w:pStyle w:val="9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_Toc19561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default" w:ascii="微软雅黑" w:hAnsi="微软雅黑" w:eastAsia="微软雅黑" w:cs="微软雅黑"/>
              <w:bCs/>
              <w:szCs w:val="28"/>
            </w:rPr>
            <w:t>2.</w:t>
          </w:r>
          <w:r>
            <w:rPr>
              <w:rFonts w:hint="eastAsia" w:ascii="微软雅黑" w:hAnsi="微软雅黑" w:eastAsia="微软雅黑" w:cs="微软雅黑"/>
              <w:bCs/>
              <w:szCs w:val="28"/>
              <w:lang w:val="en-US" w:eastAsia="zh-CN"/>
            </w:rPr>
            <w:t>2同行听课评价</w:t>
          </w:r>
          <w:r>
            <w:tab/>
          </w:r>
          <w:r>
            <w:fldChar w:fldCharType="begin"/>
          </w:r>
          <w:r>
            <w:instrText xml:space="preserve"> PAGEREF _Toc19561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466D37F0">
          <w:pPr>
            <w:pStyle w:val="10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_Toc682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Cs w:val="28"/>
              <w:lang w:val="en-US" w:eastAsia="zh-CN"/>
            </w:rPr>
            <w:t>2.2.1 自由听课</w:t>
          </w:r>
          <w:r>
            <w:tab/>
          </w:r>
          <w:r>
            <w:fldChar w:fldCharType="begin"/>
          </w:r>
          <w:r>
            <w:instrText xml:space="preserve"> PAGEREF _Toc682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27F0B6E0">
          <w:pPr>
            <w:pStyle w:val="10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_Toc29771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szCs w:val="28"/>
              <w:lang w:val="en-US" w:eastAsia="zh-CN"/>
            </w:rPr>
            <w:t>2.2.2 听课计划</w:t>
          </w:r>
          <w:r>
            <w:tab/>
          </w:r>
          <w:r>
            <w:fldChar w:fldCharType="begin"/>
          </w:r>
          <w:r>
            <w:instrText xml:space="preserve"> PAGEREF _Toc29771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3AEAA897">
          <w:pPr>
            <w:pStyle w:val="10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_Toc14511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default" w:ascii="微软雅黑" w:hAnsi="微软雅黑" w:eastAsia="微软雅黑" w:cs="微软雅黑"/>
              <w:bCs/>
              <w:szCs w:val="28"/>
            </w:rPr>
            <w:t>2.</w:t>
          </w:r>
          <w:r>
            <w:rPr>
              <w:rFonts w:hint="eastAsia" w:ascii="微软雅黑" w:hAnsi="微软雅黑" w:eastAsia="微软雅黑" w:cs="微软雅黑"/>
              <w:bCs/>
              <w:szCs w:val="28"/>
              <w:lang w:val="en-US" w:eastAsia="zh-CN"/>
            </w:rPr>
            <w:t>2.3评课记录</w:t>
          </w:r>
          <w:r>
            <w:tab/>
          </w:r>
          <w:r>
            <w:fldChar w:fldCharType="begin"/>
          </w:r>
          <w:r>
            <w:instrText xml:space="preserve"> PAGEREF _Toc14511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6BE841FF">
          <w:pPr>
            <w:pStyle w:val="9"/>
            <w:tabs>
              <w:tab w:val="right" w:leader="dot" w:pos="8306"/>
            </w:tabs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begin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instrText xml:space="preserve"> HYPERLINK \l _Toc23643 </w:instrText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separate"/>
          </w:r>
          <w:r>
            <w:rPr>
              <w:rFonts w:hint="eastAsia" w:ascii="微软雅黑" w:hAnsi="微软雅黑" w:eastAsia="微软雅黑" w:cs="微软雅黑"/>
              <w:bCs/>
              <w:kern w:val="2"/>
              <w:szCs w:val="32"/>
              <w:lang w:val="en-US" w:eastAsia="zh-CN" w:bidi="ar-SA"/>
            </w:rPr>
            <w:t>2.3我的被评</w:t>
          </w:r>
          <w:r>
            <w:tab/>
          </w:r>
          <w:r>
            <w:fldChar w:fldCharType="begin"/>
          </w:r>
          <w:r>
            <w:instrText xml:space="preserve"> PAGEREF _Toc23643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  <w:p w14:paraId="1BA4002E">
          <w:pPr>
            <w:pStyle w:val="2"/>
            <w:numPr>
              <w:ilvl w:val="0"/>
              <w:numId w:val="0"/>
            </w:numPr>
            <w:ind w:firstLine="660" w:firstLineChars="150"/>
            <w:outlineLvl w:val="9"/>
            <w:rPr>
              <w:rFonts w:hint="default" w:ascii="微软雅黑" w:hAnsi="微软雅黑" w:eastAsia="微软雅黑" w:cs="微软雅黑"/>
              <w:b/>
              <w:bCs/>
              <w:kern w:val="2"/>
              <w:sz w:val="44"/>
              <w:szCs w:val="32"/>
              <w:lang w:val="en-US" w:eastAsia="zh-CN" w:bidi="ar-SA"/>
            </w:rPr>
          </w:pPr>
          <w:r>
            <w:rPr>
              <w:rFonts w:hint="default" w:ascii="微软雅黑" w:hAnsi="微软雅黑" w:eastAsia="微软雅黑" w:cs="微软雅黑"/>
              <w:bCs/>
              <w:kern w:val="2"/>
              <w:szCs w:val="32"/>
              <w:lang w:eastAsia="zh-CN" w:bidi="ar-SA"/>
            </w:rPr>
            <w:fldChar w:fldCharType="end"/>
          </w:r>
        </w:p>
      </w:sdtContent>
    </w:sdt>
    <w:p w14:paraId="0E930422">
      <w:pPr>
        <w:rPr>
          <w:rFonts w:hint="default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754731DC">
      <w:pPr>
        <w:pStyle w:val="2"/>
        <w:numPr>
          <w:ilvl w:val="0"/>
          <w:numId w:val="0"/>
        </w:numPr>
        <w:ind w:firstLine="640" w:firstLineChars="200"/>
        <w:outlineLvl w:val="0"/>
        <w:rPr>
          <w:rFonts w:hint="default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  <w:bookmarkStart w:id="1" w:name="_Toc2113"/>
      <w:bookmarkStart w:id="2" w:name="_Toc17149_WPSOffice_Level1"/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t>一、企业微信小程序</w:t>
      </w:r>
      <w:bookmarkEnd w:id="1"/>
    </w:p>
    <w:p w14:paraId="204879A3">
      <w:pPr>
        <w:pStyle w:val="2"/>
        <w:numPr>
          <w:ilvl w:val="0"/>
          <w:numId w:val="0"/>
        </w:numPr>
        <w:ind w:firstLine="480" w:firstLineChars="150"/>
        <w:outlineLvl w:val="1"/>
        <w:rPr>
          <w:rFonts w:hint="default"/>
          <w:sz w:val="32"/>
          <w:szCs w:val="32"/>
          <w:lang w:val="en-US" w:eastAsia="zh-CN"/>
        </w:rPr>
      </w:pPr>
      <w:bookmarkStart w:id="3" w:name="_Toc30262_WPSOffice_Level2"/>
      <w:bookmarkStart w:id="4" w:name="_Toc8229"/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t>1.1企业微信小程序</w:t>
      </w:r>
      <w:bookmarkEnd w:id="3"/>
      <w:r>
        <w:rPr>
          <w:rFonts w:hint="default" w:ascii="微软雅黑" w:hAnsi="微软雅黑" w:eastAsia="微软雅黑" w:cs="微软雅黑"/>
          <w:b/>
          <w:bCs/>
          <w:kern w:val="2"/>
          <w:sz w:val="32"/>
          <w:szCs w:val="32"/>
          <w:lang w:eastAsia="zh-CN" w:bidi="ar-SA"/>
        </w:rPr>
        <w:t>登录</w:t>
      </w:r>
      <w:bookmarkEnd w:id="4"/>
    </w:p>
    <w:p w14:paraId="6A8828DA">
      <w:pPr>
        <w:ind w:firstLine="480" w:firstLineChars="200"/>
        <w:jc w:val="left"/>
        <w:rPr>
          <w:rFonts w:hint="default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通过</w:t>
      </w:r>
      <w:r>
        <w:rPr>
          <w:rFonts w:hint="default" w:ascii="微软雅黑" w:hAnsi="微软雅黑" w:eastAsia="微软雅黑" w:cs="微软雅黑"/>
          <w:sz w:val="24"/>
          <w:szCs w:val="24"/>
        </w:rPr>
        <w:t>账号密码登录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，</w:t>
      </w:r>
      <w:r>
        <w:rPr>
          <w:rFonts w:hint="default" w:ascii="微软雅黑" w:hAnsi="微软雅黑" w:eastAsia="微软雅黑" w:cs="微软雅黑"/>
          <w:sz w:val="24"/>
          <w:szCs w:val="24"/>
        </w:rPr>
        <w:t>如下图所示</w:t>
      </w:r>
    </w:p>
    <w:p w14:paraId="75925C0E">
      <w:pPr>
        <w:ind w:firstLine="480" w:firstLineChars="200"/>
        <w:jc w:val="left"/>
        <w:rPr>
          <w:rFonts w:hint="default" w:ascii="微软雅黑" w:hAnsi="微软雅黑" w:eastAsia="微软雅黑" w:cs="微软雅黑"/>
          <w:sz w:val="24"/>
          <w:szCs w:val="24"/>
        </w:rPr>
      </w:pPr>
      <w:r>
        <w:rPr>
          <w:rFonts w:hint="default" w:ascii="微软雅黑" w:hAnsi="微软雅黑" w:eastAsia="微软雅黑" w:cs="微软雅黑"/>
          <w:sz w:val="24"/>
          <w:szCs w:val="24"/>
        </w:rPr>
        <w:t>（账号：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校园卡教工号；</w:t>
      </w:r>
      <w:r>
        <w:rPr>
          <w:rFonts w:hint="default" w:ascii="微软雅黑" w:hAnsi="微软雅黑" w:eastAsia="微软雅黑" w:cs="微软雅黑"/>
          <w:sz w:val="24"/>
          <w:szCs w:val="24"/>
        </w:rPr>
        <w:t>密码：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统一认证密码</w:t>
      </w:r>
      <w:r>
        <w:rPr>
          <w:rFonts w:hint="default" w:ascii="微软雅黑" w:hAnsi="微软雅黑" w:eastAsia="微软雅黑" w:cs="微软雅黑"/>
          <w:sz w:val="24"/>
          <w:szCs w:val="24"/>
        </w:rPr>
        <w:t>）。</w:t>
      </w:r>
    </w:p>
    <w:p w14:paraId="49AC6C37">
      <w:pPr>
        <w:jc w:val="center"/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2538095" cy="5085715"/>
            <wp:effectExtent l="0" t="0" r="14605" b="63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38095" cy="508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2501265" cy="5083175"/>
            <wp:effectExtent l="0" t="0" r="3810" b="3175"/>
            <wp:docPr id="120" name="图片 120" descr="4aaf9197-6621-4fb4-a6cd-f7ccd9efe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120" descr="4aaf9197-6621-4fb4-a6cd-f7ccd9efe019"/>
                    <pic:cNvPicPr>
                      <a:picLocks noChangeAspect="1"/>
                    </pic:cNvPicPr>
                  </pic:nvPicPr>
                  <pic:blipFill>
                    <a:blip r:embed="rId7"/>
                    <a:srcRect t="6122"/>
                    <a:stretch>
                      <a:fillRect/>
                    </a:stretch>
                  </pic:blipFill>
                  <pic:spPr>
                    <a:xfrm>
                      <a:off x="0" y="0"/>
                      <a:ext cx="2501265" cy="508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05D232">
      <w:pPr>
        <w:pStyle w:val="2"/>
        <w:numPr>
          <w:ilvl w:val="0"/>
          <w:numId w:val="0"/>
        </w:numPr>
        <w:ind w:firstLine="480" w:firstLineChars="150"/>
        <w:outlineLvl w:val="1"/>
        <w:rPr>
          <w:rFonts w:hint="default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  <w:bookmarkStart w:id="5" w:name="_Toc6497"/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t>1.2 同行听课评价</w:t>
      </w:r>
      <w:bookmarkEnd w:id="5"/>
    </w:p>
    <w:p w14:paraId="2E7D5018">
      <w:pPr>
        <w:ind w:firstLine="480" w:firstLineChars="200"/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教师登录成功后，点击“同行听课评价”可自由选择课程进行听课，可查看任务总数、听课完成率等信息，同时页面以卡片形式展示了教师的任务列表，包括任务关联的课程名称、教师姓名、任务名称、单个任务的完成率等信息；</w:t>
      </w:r>
      <w:r>
        <w:drawing>
          <wp:inline distT="0" distB="0" distL="114300" distR="114300">
            <wp:extent cx="2262505" cy="3886200"/>
            <wp:effectExtent l="0" t="0" r="4445" b="0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62505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B5D8D1">
      <w:pPr>
        <w:ind w:firstLine="480" w:firstLineChars="200"/>
        <w:jc w:val="both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支持搜索课程名、教师名、地点。点击“+听课计划”可将所选课程加入听课计划中。</w:t>
      </w:r>
    </w:p>
    <w:p w14:paraId="117D515F">
      <w:pPr>
        <w:ind w:firstLine="420" w:firstLineChars="200"/>
        <w:jc w:val="center"/>
      </w:pPr>
      <w:r>
        <w:drawing>
          <wp:inline distT="0" distB="0" distL="114300" distR="114300">
            <wp:extent cx="1862455" cy="3103880"/>
            <wp:effectExtent l="0" t="0" r="4445" b="1270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62455" cy="310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793875" cy="3068320"/>
            <wp:effectExtent l="0" t="0" r="6350" b="8255"/>
            <wp:docPr id="2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93875" cy="306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D2A52D">
      <w:pPr>
        <w:ind w:firstLine="480" w:firstLineChars="200"/>
        <w:jc w:val="both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点击“取消添加”将从听课计划列表中移除。</w:t>
      </w:r>
    </w:p>
    <w:p w14:paraId="5763C1A6">
      <w:pPr>
        <w:jc w:val="center"/>
      </w:pPr>
      <w:r>
        <w:drawing>
          <wp:inline distT="0" distB="0" distL="114300" distR="114300">
            <wp:extent cx="2186305" cy="3916045"/>
            <wp:effectExtent l="0" t="0" r="4445" b="8255"/>
            <wp:docPr id="2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86305" cy="3916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1B70A1">
      <w:pPr>
        <w:jc w:val="both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点击课程，进入课程信息页面；</w:t>
      </w:r>
    </w:p>
    <w:p w14:paraId="5A7E9866">
      <w:pPr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2011680" cy="3856355"/>
            <wp:effectExtent l="0" t="0" r="7620" b="1270"/>
            <wp:docPr id="2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11680" cy="3856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964055" cy="3867785"/>
            <wp:effectExtent l="0" t="0" r="7620" b="8890"/>
            <wp:docPr id="2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964055" cy="386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915DC9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点击填写评价表，进入评价表填写页面，</w:t>
      </w:r>
    </w:p>
    <w:p w14:paraId="48DAEB34">
      <w:pPr>
        <w:ind w:firstLine="420" w:firstLineChars="200"/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2809875" cy="4483100"/>
            <wp:effectExtent l="0" t="0" r="0" b="3175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448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3F9BFF">
      <w:pPr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教师可根据课堂的听课情况填写评价表；</w:t>
      </w:r>
    </w:p>
    <w:p w14:paraId="66CCD960">
      <w:pPr>
        <w:ind w:firstLine="420" w:firstLineChars="200"/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2696210" cy="3426460"/>
            <wp:effectExtent l="0" t="0" r="8890" b="2540"/>
            <wp:docPr id="2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5"/>
                    <pic:cNvPicPr>
                      <a:picLocks noChangeAspect="1"/>
                    </pic:cNvPicPr>
                  </pic:nvPicPr>
                  <pic:blipFill>
                    <a:blip r:embed="rId15"/>
                    <a:srcRect b="10307"/>
                    <a:stretch>
                      <a:fillRect/>
                    </a:stretch>
                  </pic:blipFill>
                  <pic:spPr>
                    <a:xfrm>
                      <a:off x="0" y="0"/>
                      <a:ext cx="2696210" cy="342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F410E">
      <w:pPr>
        <w:ind w:firstLine="480" w:firstLineChars="200"/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此时教师可选择暂时保存，暂时保存后系统将对已填写内容进行留存，教师下次进入时将展示已填写内容，教师也可选择提交评价表。</w:t>
      </w:r>
    </w:p>
    <w:p w14:paraId="1DF5BB12">
      <w:pPr>
        <w:ind w:firstLine="420" w:firstLineChars="200"/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2262505" cy="3726815"/>
            <wp:effectExtent l="0" t="0" r="4445" b="6985"/>
            <wp:docPr id="3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262505" cy="372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235DA0">
      <w:pPr>
        <w:ind w:firstLine="480" w:firstLineChars="200"/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提交评价表后对应的“评课记录”模块将增加该条记录。</w:t>
      </w:r>
    </w:p>
    <w:p w14:paraId="0D7CE8B4">
      <w:pPr>
        <w:ind w:firstLine="420" w:firstLineChars="200"/>
        <w:jc w:val="center"/>
      </w:pPr>
      <w:r>
        <w:drawing>
          <wp:inline distT="0" distB="0" distL="114300" distR="114300">
            <wp:extent cx="2357755" cy="3652520"/>
            <wp:effectExtent l="0" t="0" r="4445" b="5080"/>
            <wp:docPr id="3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357755" cy="365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163AD3">
      <w:pPr>
        <w:ind w:firstLine="480" w:firstLineChars="200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评价记录一周内允许修改，一周后经管理员审核后将无法修改。请老师在提交评价后再次确认内容和选项无误。</w:t>
      </w:r>
    </w:p>
    <w:p w14:paraId="0AC94E84">
      <w:pPr>
        <w:ind w:firstLine="420" w:firstLineChars="200"/>
        <w:jc w:val="center"/>
        <w:rPr>
          <w:rFonts w:hint="default"/>
          <w:lang w:val="en-US" w:eastAsia="zh-CN"/>
        </w:rPr>
      </w:pPr>
    </w:p>
    <w:p w14:paraId="302711D7">
      <w:pP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br w:type="page"/>
      </w:r>
    </w:p>
    <w:p w14:paraId="5C9943B3">
      <w:pPr>
        <w:pStyle w:val="2"/>
        <w:numPr>
          <w:ilvl w:val="0"/>
          <w:numId w:val="0"/>
        </w:numPr>
        <w:ind w:firstLine="480" w:firstLineChars="150"/>
        <w:outlineLvl w:val="0"/>
        <w:rPr>
          <w:rFonts w:hint="default"/>
          <w:sz w:val="32"/>
          <w:szCs w:val="32"/>
          <w:lang w:val="en-US" w:eastAsia="zh-CN"/>
        </w:rPr>
      </w:pPr>
      <w:bookmarkStart w:id="6" w:name="_Toc16166"/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t>二</w:t>
      </w:r>
      <w:r>
        <w:rPr>
          <w:rFonts w:hint="default" w:ascii="微软雅黑" w:hAnsi="微软雅黑" w:eastAsia="微软雅黑" w:cs="微软雅黑"/>
          <w:b/>
          <w:bCs/>
          <w:kern w:val="2"/>
          <w:sz w:val="32"/>
          <w:szCs w:val="32"/>
          <w:lang w:eastAsia="zh-CN" w:bidi="ar-SA"/>
        </w:rPr>
        <w:t>、</w:t>
      </w:r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t>PC端</w:t>
      </w:r>
      <w:bookmarkEnd w:id="2"/>
      <w:bookmarkEnd w:id="6"/>
    </w:p>
    <w:p w14:paraId="55C5D372">
      <w:pPr>
        <w:numPr>
          <w:ilvl w:val="0"/>
          <w:numId w:val="0"/>
        </w:numPr>
        <w:ind w:firstLine="560" w:firstLineChars="200"/>
        <w:jc w:val="left"/>
        <w:outlineLvl w:val="1"/>
        <w:rPr>
          <w:rFonts w:hint="default" w:ascii="微软雅黑" w:hAnsi="微软雅黑" w:eastAsia="微软雅黑" w:cs="微软雅黑"/>
          <w:b/>
          <w:bCs/>
          <w:sz w:val="28"/>
          <w:szCs w:val="28"/>
          <w:lang w:val="en-US" w:eastAsia="zh-CN"/>
        </w:rPr>
      </w:pPr>
      <w:bookmarkStart w:id="7" w:name="_Toc23770"/>
      <w:bookmarkStart w:id="8" w:name="_Toc18485_WPSOffice_Level2"/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2.1 PC端登录</w:t>
      </w:r>
      <w:bookmarkEnd w:id="7"/>
      <w:bookmarkEnd w:id="8"/>
    </w:p>
    <w:p w14:paraId="2839BCD5">
      <w:pPr>
        <w:ind w:firstLine="480" w:firstLineChars="200"/>
        <w:jc w:val="left"/>
        <w:rPr>
          <w:rFonts w:hint="default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1.校内使用：浏览器中输入平台</w:t>
      </w:r>
      <w:r>
        <w:rPr>
          <w:rFonts w:hint="default" w:ascii="微软雅黑" w:hAnsi="微软雅黑" w:eastAsia="微软雅黑" w:cs="微软雅黑"/>
          <w:sz w:val="24"/>
          <w:szCs w:val="24"/>
        </w:rPr>
        <w:t>地址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（</w:t>
      </w:r>
      <w:bookmarkStart w:id="15" w:name="_GoBack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http://iclass.bipt.edu.cn:88/ve/</w:t>
      </w:r>
      <w:bookmarkEnd w:id="15"/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）进入电脑端登录界面，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然后</w:t>
      </w:r>
      <w:r>
        <w:rPr>
          <w:rFonts w:hint="default" w:ascii="微软雅黑" w:hAnsi="微软雅黑" w:eastAsia="微软雅黑" w:cs="微软雅黑"/>
          <w:sz w:val="24"/>
          <w:szCs w:val="24"/>
        </w:rPr>
        <w:t>通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过</w:t>
      </w:r>
      <w:r>
        <w:rPr>
          <w:rFonts w:hint="default" w:ascii="微软雅黑" w:hAnsi="微软雅黑" w:eastAsia="微软雅黑" w:cs="微软雅黑"/>
          <w:sz w:val="24"/>
          <w:szCs w:val="24"/>
        </w:rPr>
        <w:t>账号密码登录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，</w:t>
      </w:r>
      <w:r>
        <w:rPr>
          <w:rFonts w:hint="default" w:ascii="微软雅黑" w:hAnsi="微软雅黑" w:eastAsia="微软雅黑" w:cs="微软雅黑"/>
          <w:sz w:val="24"/>
          <w:szCs w:val="24"/>
        </w:rPr>
        <w:t>如下图所示</w:t>
      </w:r>
    </w:p>
    <w:p w14:paraId="79DBE490">
      <w:pPr>
        <w:ind w:firstLine="480" w:firstLineChars="200"/>
        <w:jc w:val="left"/>
        <w:rPr>
          <w:rFonts w:hint="default" w:ascii="微软雅黑" w:hAnsi="微软雅黑" w:eastAsia="微软雅黑" w:cs="微软雅黑"/>
          <w:sz w:val="24"/>
          <w:szCs w:val="24"/>
        </w:rPr>
      </w:pPr>
      <w:r>
        <w:rPr>
          <w:rFonts w:hint="default" w:ascii="微软雅黑" w:hAnsi="微软雅黑" w:eastAsia="微软雅黑" w:cs="微软雅黑"/>
          <w:sz w:val="24"/>
          <w:szCs w:val="24"/>
        </w:rPr>
        <w:t>（账号：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校园卡教工号；</w:t>
      </w:r>
      <w:r>
        <w:rPr>
          <w:rFonts w:hint="default" w:ascii="微软雅黑" w:hAnsi="微软雅黑" w:eastAsia="微软雅黑" w:cs="微软雅黑"/>
          <w:sz w:val="24"/>
          <w:szCs w:val="24"/>
        </w:rPr>
        <w:t>密码：密码：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统一认证平台密码。默认密码为Shxy+身份证后六位</w:t>
      </w:r>
      <w:r>
        <w:rPr>
          <w:rFonts w:hint="default" w:ascii="微软雅黑" w:hAnsi="微软雅黑" w:eastAsia="微软雅黑" w:cs="微软雅黑"/>
          <w:sz w:val="24"/>
          <w:szCs w:val="24"/>
        </w:rPr>
        <w:t>）</w:t>
      </w:r>
    </w:p>
    <w:p w14:paraId="10E7A1C6">
      <w:pPr>
        <w:jc w:val="left"/>
        <w:rPr>
          <w:rFonts w:hint="default" w:ascii="微软雅黑" w:hAnsi="微软雅黑" w:eastAsia="微软雅黑" w:cs="微软雅黑"/>
          <w:sz w:val="24"/>
          <w:szCs w:val="24"/>
        </w:rPr>
      </w:pPr>
      <w:r>
        <w:drawing>
          <wp:inline distT="0" distB="0" distL="114300" distR="114300">
            <wp:extent cx="5271770" cy="2680970"/>
            <wp:effectExtent l="0" t="0" r="5080" b="5080"/>
            <wp:docPr id="56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2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68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514CE4">
      <w:pPr>
        <w:jc w:val="left"/>
        <w:rPr>
          <w:rFonts w:hint="eastAsia"/>
          <w:lang w:eastAsia="zh-CN"/>
        </w:rPr>
      </w:pPr>
    </w:p>
    <w:p w14:paraId="7F1D646C">
      <w:pPr>
        <w:numPr>
          <w:ilvl w:val="0"/>
          <w:numId w:val="0"/>
        </w:numPr>
        <w:ind w:firstLine="480" w:firstLineChars="200"/>
        <w:jc w:val="left"/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2.校外使用：校外需要使用VPN登录平台:浏览器中输入VPN访问</w:t>
      </w:r>
      <w:r>
        <w:rPr>
          <w:rFonts w:hint="default" w:ascii="微软雅黑" w:hAnsi="微软雅黑" w:eastAsia="微软雅黑" w:cs="微软雅黑"/>
          <w:sz w:val="24"/>
          <w:szCs w:val="24"/>
        </w:rPr>
        <w:t>地址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（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https://webvpn.bipt.edu.cn/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）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，进入界面后在地址栏切换为http后输入平台地址（http://iclass.bipt.edu.cn:88/ve/），跳转进入平台，然后</w:t>
      </w:r>
      <w:r>
        <w:rPr>
          <w:rFonts w:hint="default" w:ascii="微软雅黑" w:hAnsi="微软雅黑" w:eastAsia="微软雅黑" w:cs="微软雅黑"/>
          <w:sz w:val="24"/>
          <w:szCs w:val="24"/>
        </w:rPr>
        <w:t>通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过</w:t>
      </w:r>
      <w:r>
        <w:rPr>
          <w:rFonts w:hint="default" w:ascii="微软雅黑" w:hAnsi="微软雅黑" w:eastAsia="微软雅黑" w:cs="微软雅黑"/>
          <w:sz w:val="24"/>
          <w:szCs w:val="24"/>
        </w:rPr>
        <w:t>账号密码登录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。</w:t>
      </w:r>
    </w:p>
    <w:p w14:paraId="47360047">
      <w:pPr>
        <w:ind w:firstLine="480" w:firstLineChars="200"/>
        <w:jc w:val="left"/>
        <w:rPr>
          <w:rFonts w:hint="default" w:ascii="微软雅黑" w:hAnsi="微软雅黑" w:eastAsia="微软雅黑" w:cs="微软雅黑"/>
          <w:sz w:val="24"/>
          <w:szCs w:val="24"/>
        </w:rPr>
      </w:pPr>
      <w:r>
        <w:rPr>
          <w:rFonts w:hint="default" w:ascii="微软雅黑" w:hAnsi="微软雅黑" w:eastAsia="微软雅黑" w:cs="微软雅黑"/>
          <w:sz w:val="24"/>
          <w:szCs w:val="24"/>
        </w:rPr>
        <w:t>（账号：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校园卡教工号；</w:t>
      </w:r>
      <w:r>
        <w:rPr>
          <w:rFonts w:hint="default" w:ascii="微软雅黑" w:hAnsi="微软雅黑" w:eastAsia="微软雅黑" w:cs="微软雅黑"/>
          <w:sz w:val="24"/>
          <w:szCs w:val="24"/>
        </w:rPr>
        <w:t>密码：密码：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统一认证平台密码。默认密码为Shxy+身份证后六位</w:t>
      </w:r>
      <w:r>
        <w:rPr>
          <w:rFonts w:hint="default" w:ascii="微软雅黑" w:hAnsi="微软雅黑" w:eastAsia="微软雅黑" w:cs="微软雅黑"/>
          <w:sz w:val="24"/>
          <w:szCs w:val="24"/>
        </w:rPr>
        <w:t>）</w:t>
      </w:r>
    </w:p>
    <w:p w14:paraId="00927B5E">
      <w:pPr>
        <w:rPr>
          <w:rFonts w:hint="eastAsia"/>
          <w:lang w:val="en-US" w:eastAsia="zh-CN"/>
        </w:rPr>
      </w:pPr>
    </w:p>
    <w:p w14:paraId="4AF708E1">
      <w:pP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 w14:paraId="3A633F66">
      <w:r>
        <w:drawing>
          <wp:inline distT="0" distB="0" distL="114300" distR="114300">
            <wp:extent cx="5266055" cy="1805940"/>
            <wp:effectExtent l="0" t="0" r="1270" b="3810"/>
            <wp:docPr id="2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180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C4A3E6">
      <w:pPr>
        <w:pStyle w:val="2"/>
        <w:numPr>
          <w:ilvl w:val="0"/>
          <w:numId w:val="0"/>
        </w:numPr>
        <w:outlineLvl w:val="9"/>
      </w:pPr>
      <w:r>
        <w:drawing>
          <wp:inline distT="0" distB="0" distL="114300" distR="114300">
            <wp:extent cx="5271770" cy="2680970"/>
            <wp:effectExtent l="0" t="0" r="5080" b="5080"/>
            <wp:docPr id="32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68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1908B6">
      <w:pPr>
        <w:ind w:firstLine="480" w:firstLineChars="200"/>
        <w:jc w:val="left"/>
        <w:rPr>
          <w:rFonts w:hint="default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3.登录平台后在上方菜单栏点击“同行听课评价”模块开始听课评课。</w:t>
      </w:r>
    </w:p>
    <w:p w14:paraId="24917B82">
      <w:pP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  <w:r>
        <w:drawing>
          <wp:inline distT="0" distB="0" distL="114300" distR="114300">
            <wp:extent cx="5270500" cy="1662430"/>
            <wp:effectExtent l="0" t="0" r="6350" b="4445"/>
            <wp:docPr id="2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662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br w:type="page"/>
      </w:r>
    </w:p>
    <w:p w14:paraId="2EAED7F8">
      <w:pPr>
        <w:numPr>
          <w:ilvl w:val="0"/>
          <w:numId w:val="0"/>
        </w:numPr>
        <w:ind w:firstLine="560" w:firstLineChars="200"/>
        <w:jc w:val="left"/>
        <w:outlineLvl w:val="1"/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</w:pPr>
      <w:bookmarkStart w:id="9" w:name="_Toc1831602574_WPSOffice_Level2"/>
      <w:bookmarkStart w:id="10" w:name="_Toc19561"/>
      <w:r>
        <w:rPr>
          <w:rFonts w:hint="default" w:ascii="微软雅黑" w:hAnsi="微软雅黑" w:eastAsia="微软雅黑" w:cs="微软雅黑"/>
          <w:b/>
          <w:bCs/>
          <w:sz w:val="28"/>
          <w:szCs w:val="28"/>
        </w:rPr>
        <w:t>2.</w:t>
      </w:r>
      <w:bookmarkEnd w:id="9"/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2同行听课评价</w:t>
      </w:r>
      <w:bookmarkEnd w:id="10"/>
    </w:p>
    <w:p w14:paraId="715B4AC8">
      <w:pPr>
        <w:numPr>
          <w:ilvl w:val="0"/>
          <w:numId w:val="0"/>
        </w:numPr>
        <w:ind w:firstLine="560" w:firstLineChars="200"/>
        <w:jc w:val="left"/>
        <w:outlineLvl w:val="2"/>
        <w:rPr>
          <w:rFonts w:hint="default" w:ascii="微软雅黑" w:hAnsi="微软雅黑" w:eastAsia="微软雅黑" w:cs="微软雅黑"/>
          <w:b/>
          <w:bCs/>
          <w:sz w:val="28"/>
          <w:szCs w:val="28"/>
          <w:lang w:val="en-US" w:eastAsia="zh-CN"/>
        </w:rPr>
      </w:pPr>
      <w:bookmarkStart w:id="11" w:name="_Toc682"/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2.2.1 自由听课</w:t>
      </w:r>
      <w:bookmarkEnd w:id="11"/>
    </w:p>
    <w:p w14:paraId="59B0CA7A">
      <w:pPr>
        <w:ind w:firstLine="480" w:firstLineChars="200"/>
        <w:rPr>
          <w:rFonts w:hint="default" w:ascii="微软雅黑" w:hAnsi="微软雅黑" w:eastAsia="微软雅黑" w:cs="微软雅黑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点击“自由听课”模块，可自由选择课程进行听课。支持按照上课状态、课程类型、开课院系、上课地点、教师信息、课程信息、星期以及节次筛选。</w:t>
      </w:r>
    </w:p>
    <w:p w14:paraId="6ECB9804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5420" cy="1483360"/>
            <wp:effectExtent l="0" t="0" r="1905" b="2540"/>
            <wp:docPr id="33" name="图片 33" descr="5eb2807efda539b556389021d4f0c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5eb2807efda539b556389021d4f0c6b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1483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D0EA11">
      <w:pPr>
        <w:numPr>
          <w:ilvl w:val="0"/>
          <w:numId w:val="0"/>
        </w:numPr>
        <w:ind w:firstLine="480" w:firstLineChars="200"/>
        <w:jc w:val="left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点击“加入计划”，可将所选课程加入听课计划中。</w:t>
      </w:r>
    </w:p>
    <w:p w14:paraId="339147F7">
      <w:pPr>
        <w:ind w:left="210" w:hanging="210" w:hangingChars="100"/>
      </w:pPr>
      <w:r>
        <w:drawing>
          <wp:inline distT="0" distB="0" distL="114300" distR="114300">
            <wp:extent cx="5272405" cy="2812415"/>
            <wp:effectExtent l="0" t="0" r="4445" b="6985"/>
            <wp:docPr id="34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81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6733A9">
      <w:pPr>
        <w:numPr>
          <w:ilvl w:val="0"/>
          <w:numId w:val="0"/>
        </w:numPr>
        <w:ind w:firstLine="560" w:firstLineChars="200"/>
        <w:jc w:val="left"/>
        <w:outlineLvl w:val="2"/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</w:pPr>
      <w:bookmarkStart w:id="12" w:name="_Toc29771"/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2.2.2 听课计划</w:t>
      </w:r>
      <w:bookmarkEnd w:id="12"/>
    </w:p>
    <w:p w14:paraId="4BEA5E88">
      <w:pPr>
        <w:numPr>
          <w:ilvl w:val="0"/>
          <w:numId w:val="0"/>
        </w:numPr>
        <w:ind w:firstLine="480" w:firstLineChars="200"/>
        <w:jc w:val="left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点击“听课计划”模块，可查看从听课评价任务中提前加入的听课计划。</w:t>
      </w:r>
    </w:p>
    <w:p w14:paraId="16FABA66">
      <w:pPr>
        <w:numPr>
          <w:ilvl w:val="0"/>
          <w:numId w:val="0"/>
        </w:numPr>
        <w:ind w:firstLine="480" w:firstLineChars="200"/>
        <w:jc w:val="left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教师可选择“移除计划”或者“填写评价表”，点击移除计划将把该条计划从听课计划中移除，点击填写评价表将进入填写评价表页面。</w:t>
      </w:r>
    </w:p>
    <w:p w14:paraId="61E5D60E">
      <w:pPr>
        <w:numPr>
          <w:ilvl w:val="0"/>
          <w:numId w:val="0"/>
        </w:numPr>
        <w:ind w:firstLine="420" w:firstLineChars="200"/>
        <w:jc w:val="left"/>
        <w:outlineLvl w:val="9"/>
      </w:pPr>
    </w:p>
    <w:p w14:paraId="1D1CEAB0">
      <w:pPr>
        <w:numPr>
          <w:ilvl w:val="0"/>
          <w:numId w:val="0"/>
        </w:numPr>
        <w:jc w:val="left"/>
        <w:outlineLvl w:val="9"/>
      </w:pPr>
      <w:r>
        <w:drawing>
          <wp:inline distT="0" distB="0" distL="114300" distR="114300">
            <wp:extent cx="5247640" cy="2874010"/>
            <wp:effectExtent l="0" t="0" r="635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47640" cy="287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9D79C9">
      <w:pPr>
        <w:numPr>
          <w:ilvl w:val="0"/>
          <w:numId w:val="0"/>
        </w:numPr>
        <w:ind w:firstLine="560" w:firstLineChars="200"/>
        <w:jc w:val="left"/>
        <w:outlineLvl w:val="2"/>
        <w:rPr>
          <w:rFonts w:hint="default" w:ascii="微软雅黑" w:hAnsi="微软雅黑" w:eastAsia="微软雅黑" w:cs="微软雅黑"/>
          <w:b/>
          <w:bCs/>
          <w:sz w:val="28"/>
          <w:szCs w:val="28"/>
          <w:lang w:val="en-US" w:eastAsia="zh-CN"/>
        </w:rPr>
      </w:pPr>
      <w:bookmarkStart w:id="13" w:name="_Toc14511"/>
      <w:r>
        <w:rPr>
          <w:rFonts w:hint="default" w:ascii="微软雅黑" w:hAnsi="微软雅黑" w:eastAsia="微软雅黑" w:cs="微软雅黑"/>
          <w:b/>
          <w:bCs/>
          <w:sz w:val="28"/>
          <w:szCs w:val="28"/>
        </w:rPr>
        <w:t>2.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2.3评课记录</w:t>
      </w:r>
      <w:bookmarkEnd w:id="13"/>
    </w:p>
    <w:p w14:paraId="3BB2393E">
      <w:pPr>
        <w:numPr>
          <w:ilvl w:val="0"/>
          <w:numId w:val="0"/>
        </w:numPr>
        <w:ind w:firstLine="480" w:firstLineChars="200"/>
        <w:jc w:val="left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点击“评课记录”模块，可查看已提交的评课记录，</w:t>
      </w:r>
    </w:p>
    <w:p w14:paraId="431C5ED1">
      <w:pPr>
        <w:numPr>
          <w:ilvl w:val="0"/>
          <w:numId w:val="0"/>
        </w:numPr>
        <w:jc w:val="left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drawing>
          <wp:inline distT="0" distB="0" distL="114300" distR="114300">
            <wp:extent cx="5261610" cy="1155700"/>
            <wp:effectExtent l="0" t="0" r="5715" b="6350"/>
            <wp:docPr id="37" name="图片 37" descr="dbce85e2bc276cb15666a8760a901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dbce85e2bc276cb15666a8760a901fe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115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EA97C9">
      <w:pPr>
        <w:numPr>
          <w:ilvl w:val="0"/>
          <w:numId w:val="0"/>
        </w:numPr>
        <w:ind w:firstLine="480" w:firstLineChars="200"/>
        <w:jc w:val="left"/>
        <w:outlineLvl w:val="9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点击“查看详情”可查看已提交评课记录的内容。</w:t>
      </w:r>
    </w:p>
    <w:p w14:paraId="46169D21">
      <w:pPr>
        <w:numPr>
          <w:ilvl w:val="0"/>
          <w:numId w:val="0"/>
        </w:numPr>
        <w:jc w:val="left"/>
        <w:outlineLvl w:val="9"/>
      </w:pPr>
      <w:r>
        <w:drawing>
          <wp:inline distT="0" distB="0" distL="114300" distR="114300">
            <wp:extent cx="5274310" cy="2795270"/>
            <wp:effectExtent l="0" t="0" r="2540" b="5080"/>
            <wp:docPr id="38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9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4617EE">
      <w:pPr>
        <w:ind w:firstLine="480" w:firstLineChars="200"/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评价记录一周内允许修改，一周后经管理员审核后将无法修改。请老师在提交评价后再次确认内容和选项无误。</w:t>
      </w:r>
    </w:p>
    <w:p w14:paraId="0A2F8618">
      <w:pPr>
        <w:ind w:firstLine="640" w:firstLineChars="200"/>
        <w:outlineLvl w:val="1"/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  <w:bookmarkStart w:id="14" w:name="_Toc23643"/>
      <w:r>
        <w:rPr>
          <w:rFonts w:hint="eastAsia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  <w:t>2.3我的被评</w:t>
      </w:r>
      <w:bookmarkEnd w:id="14"/>
    </w:p>
    <w:p w14:paraId="6B2E0C28">
      <w:pPr>
        <w:ind w:firstLine="480" w:firstLineChars="200"/>
        <w:rPr>
          <w:rFonts w:hint="eastAsia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教师可在我的被评查看经审核的评课记录，点击“查看详情”可查看评课记录的详细内容。</w:t>
      </w:r>
    </w:p>
    <w:p w14:paraId="2D76E74E">
      <w:pPr>
        <w:numPr>
          <w:ilvl w:val="0"/>
          <w:numId w:val="0"/>
        </w:numPr>
        <w:jc w:val="left"/>
        <w:outlineLvl w:val="9"/>
        <w:rPr>
          <w:rFonts w:hint="default"/>
          <w:lang w:val="en-US" w:eastAsia="zh-CN"/>
        </w:rPr>
      </w:pPr>
      <w:r>
        <w:drawing>
          <wp:inline distT="0" distB="0" distL="114300" distR="114300">
            <wp:extent cx="5266690" cy="2797810"/>
            <wp:effectExtent l="0" t="0" r="635" b="2540"/>
            <wp:docPr id="16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2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97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CB41DA">
      <w:pPr>
        <w:rPr>
          <w:rFonts w:hint="default" w:ascii="微软雅黑" w:hAnsi="微软雅黑" w:eastAsia="微软雅黑" w:cs="微软雅黑"/>
          <w:b/>
          <w:bCs/>
          <w:kern w:val="2"/>
          <w:sz w:val="32"/>
          <w:szCs w:val="32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C9EDF4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0" name="文本框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600502"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3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R3mOYy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1HeY5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B600502"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3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1MGJjMjU0NTk3OTc0ZmNiZmQyZjBhMDE4MmM0OWEifQ=="/>
  </w:docVars>
  <w:rsids>
    <w:rsidRoot w:val="732524A4"/>
    <w:rsid w:val="00146938"/>
    <w:rsid w:val="01FD3A7B"/>
    <w:rsid w:val="07A562CB"/>
    <w:rsid w:val="09D35380"/>
    <w:rsid w:val="0C056F02"/>
    <w:rsid w:val="0C8F52F5"/>
    <w:rsid w:val="0D67094A"/>
    <w:rsid w:val="0EDD356A"/>
    <w:rsid w:val="16167417"/>
    <w:rsid w:val="199C3711"/>
    <w:rsid w:val="1C9E18FF"/>
    <w:rsid w:val="1CC17F9B"/>
    <w:rsid w:val="20131D14"/>
    <w:rsid w:val="27B90FE2"/>
    <w:rsid w:val="2D134C33"/>
    <w:rsid w:val="2D7A6430"/>
    <w:rsid w:val="2D7D4175"/>
    <w:rsid w:val="35104671"/>
    <w:rsid w:val="39E71CCB"/>
    <w:rsid w:val="3F256617"/>
    <w:rsid w:val="3F65059C"/>
    <w:rsid w:val="3F914050"/>
    <w:rsid w:val="3FE82D30"/>
    <w:rsid w:val="4A8B6A7C"/>
    <w:rsid w:val="4C4A7215"/>
    <w:rsid w:val="4D6A1461"/>
    <w:rsid w:val="4EC407A5"/>
    <w:rsid w:val="51A146C5"/>
    <w:rsid w:val="52AF53F2"/>
    <w:rsid w:val="55A76918"/>
    <w:rsid w:val="590F52C4"/>
    <w:rsid w:val="5BB16E51"/>
    <w:rsid w:val="5DD66D8B"/>
    <w:rsid w:val="5E6B158B"/>
    <w:rsid w:val="5EB87D41"/>
    <w:rsid w:val="6001450E"/>
    <w:rsid w:val="60936406"/>
    <w:rsid w:val="63AA57EB"/>
    <w:rsid w:val="66E71979"/>
    <w:rsid w:val="683E55D4"/>
    <w:rsid w:val="68AD7E01"/>
    <w:rsid w:val="68B53C38"/>
    <w:rsid w:val="6936403D"/>
    <w:rsid w:val="6CED2614"/>
    <w:rsid w:val="6EB1780C"/>
    <w:rsid w:val="6F351AED"/>
    <w:rsid w:val="732524A4"/>
    <w:rsid w:val="75A2043A"/>
    <w:rsid w:val="76AC122E"/>
    <w:rsid w:val="76F4386D"/>
    <w:rsid w:val="79EB2A60"/>
    <w:rsid w:val="7C0A06D0"/>
    <w:rsid w:val="7D466982"/>
    <w:rsid w:val="7E3C3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WPSOffice手动目录 1"/>
    <w:qFormat/>
    <w:uiPriority w:val="0"/>
    <w:pPr>
      <w:ind w:leftChars="0"/>
    </w:pPr>
    <w:rPr>
      <w:rFonts w:asciiTheme="minorHAnsi" w:hAnsiTheme="minorHAnsi" w:eastAsiaTheme="minorEastAsia" w:cstheme="minorBidi"/>
      <w:sz w:val="20"/>
      <w:szCs w:val="20"/>
    </w:rPr>
  </w:style>
  <w:style w:type="paragraph" w:customStyle="1" w:styleId="9">
    <w:name w:val="WPSOffice手动目录 2"/>
    <w:qFormat/>
    <w:uiPriority w:val="0"/>
    <w:pPr>
      <w:ind w:leftChars="200"/>
    </w:pPr>
    <w:rPr>
      <w:rFonts w:asciiTheme="minorHAnsi" w:hAnsiTheme="minorHAnsi" w:eastAsiaTheme="minorEastAsia" w:cstheme="minorBidi"/>
      <w:sz w:val="20"/>
      <w:szCs w:val="20"/>
    </w:rPr>
  </w:style>
  <w:style w:type="paragraph" w:customStyle="1" w:styleId="10">
    <w:name w:val="WPSOffice手动目录 3"/>
    <w:qFormat/>
    <w:uiPriority w:val="0"/>
    <w:pPr>
      <w:ind w:leftChars="400"/>
    </w:pPr>
    <w:rPr>
      <w:rFonts w:asciiTheme="minorHAnsi" w:hAnsiTheme="minorHAnsi" w:eastAsiaTheme="minorEastAsia" w:cstheme="minorBidi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8" Type="http://schemas.openxmlformats.org/officeDocument/2006/relationships/fontTable" Target="fontTable.xml"/><Relationship Id="rId27" Type="http://schemas.openxmlformats.org/officeDocument/2006/relationships/customXml" Target="../customXml/item1.xml"/><Relationship Id="rId26" Type="http://schemas.openxmlformats.org/officeDocument/2006/relationships/image" Target="media/image22.png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1098</Words>
  <Characters>1259</Characters>
  <Lines>0</Lines>
  <Paragraphs>0</Paragraphs>
  <TotalTime>0</TotalTime>
  <ScaleCrop>false</ScaleCrop>
  <LinksUpToDate>false</LinksUpToDate>
  <CharactersWithSpaces>1298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2024-08-27T11:05:00Z</dcterms:created>
  <dc:creator>子E。</dc:creator>
  <cp:lastModifiedBy>华灵燕</cp:lastModifiedBy>
  <dcterms:modified xsi:type="dcterms:W3CDTF">2025-02-24T00:54:10Z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C5E5957B57554CD1B439279217B2839B_13</vt:lpwstr>
  </property>
</Properties>
</file>