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17" w:lineRule="atLeast"/>
        <w:ind w:left="0" w:right="0"/>
        <w:jc w:val="center"/>
        <w:rPr>
          <w:rFonts w:ascii="微软雅黑" w:hAnsi="微软雅黑" w:eastAsia="微软雅黑" w:cs="微软雅黑"/>
          <w:b w:val="0"/>
          <w:bCs w:val="0"/>
          <w:i w:val="0"/>
          <w:iCs w:val="0"/>
          <w:color w:val="555555"/>
          <w:sz w:val="42"/>
          <w:szCs w:val="42"/>
          <w:highlight w:val="none"/>
        </w:rPr>
      </w:pPr>
      <w:r>
        <w:rPr>
          <w:rFonts w:hint="eastAsia" w:ascii="微软雅黑" w:hAnsi="微软雅黑" w:eastAsia="微软雅黑" w:cs="微软雅黑"/>
          <w:b w:val="0"/>
          <w:bCs w:val="0"/>
          <w:i w:val="0"/>
          <w:iCs w:val="0"/>
          <w:color w:val="555555"/>
          <w:sz w:val="42"/>
          <w:szCs w:val="42"/>
          <w:highlight w:val="none"/>
        </w:rPr>
        <w:t>2023年第五届北京市大学生节能节水低碳减排社会实践与科技竞赛方案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10" w:lineRule="atLeast"/>
        <w:ind w:left="0" w:right="0"/>
        <w:jc w:val="left"/>
        <w:rPr>
          <w:color w:val="999999"/>
          <w:sz w:val="21"/>
          <w:szCs w:val="21"/>
          <w:highlight w:val="none"/>
        </w:rPr>
      </w:pPr>
      <w:r>
        <w:rPr>
          <w:rFonts w:ascii="宋体" w:hAnsi="宋体" w:eastAsia="宋体" w:cs="宋体"/>
          <w:color w:val="999999"/>
          <w:kern w:val="0"/>
          <w:sz w:val="21"/>
          <w:szCs w:val="21"/>
          <w:highlight w:val="none"/>
          <w:lang w:val="en-US" w:eastAsia="zh-CN" w:bidi="ar"/>
        </w:rPr>
        <w:t>发布时间：2023-03-08    来源：北京市教育委员会</w:t>
      </w:r>
    </w:p>
    <w:p>
      <w:pPr>
        <w:keepNext w:val="0"/>
        <w:keepLines w:val="0"/>
        <w:widowControl/>
        <w:suppressLineNumbers w:val="0"/>
        <w:pBdr>
          <w:top w:val="none" w:color="auto" w:sz="0" w:space="0"/>
          <w:bottom w:val="none" w:color="auto" w:sz="0" w:space="0"/>
          <w:right w:val="none" w:color="auto" w:sz="0" w:space="0"/>
        </w:pBdr>
        <w:spacing w:before="226" w:beforeAutospacing="0" w:after="0" w:afterAutospacing="0" w:line="210" w:lineRule="atLeast"/>
        <w:ind w:left="0" w:right="0"/>
        <w:jc w:val="left"/>
        <w:rPr>
          <w:color w:val="999999"/>
          <w:sz w:val="21"/>
          <w:szCs w:val="21"/>
          <w:highlight w:val="none"/>
        </w:rPr>
      </w:pPr>
      <w:r>
        <w:rPr>
          <w:rFonts w:ascii="宋体" w:hAnsi="宋体" w:eastAsia="宋体" w:cs="宋体"/>
          <w:color w:val="337AB7"/>
          <w:kern w:val="0"/>
          <w:sz w:val="21"/>
          <w:szCs w:val="21"/>
          <w:highlight w:val="none"/>
          <w:u w:val="none"/>
          <w:shd w:val="clear" w:fill="C9C9C9"/>
          <w:lang w:val="en-US" w:eastAsia="zh-CN" w:bidi="ar"/>
        </w:rPr>
        <w:fldChar w:fldCharType="begin"/>
      </w:r>
      <w:r>
        <w:rPr>
          <w:rFonts w:ascii="宋体" w:hAnsi="宋体" w:eastAsia="宋体" w:cs="宋体"/>
          <w:color w:val="337AB7"/>
          <w:kern w:val="0"/>
          <w:sz w:val="21"/>
          <w:szCs w:val="21"/>
          <w:highlight w:val="none"/>
          <w:u w:val="none"/>
          <w:shd w:val="clear" w:fill="C9C9C9"/>
          <w:lang w:val="en-US" w:eastAsia="zh-CN" w:bidi="ar"/>
        </w:rPr>
        <w:instrText xml:space="preserve"> HYPERLINK "javascript:;" </w:instrText>
      </w:r>
      <w:r>
        <w:rPr>
          <w:rFonts w:ascii="宋体" w:hAnsi="宋体" w:eastAsia="宋体" w:cs="宋体"/>
          <w:color w:val="337AB7"/>
          <w:kern w:val="0"/>
          <w:sz w:val="21"/>
          <w:szCs w:val="21"/>
          <w:highlight w:val="none"/>
          <w:u w:val="none"/>
          <w:shd w:val="clear" w:fill="C9C9C9"/>
          <w:lang w:val="en-US" w:eastAsia="zh-CN" w:bidi="ar"/>
        </w:rPr>
        <w:fldChar w:fldCharType="separate"/>
      </w:r>
      <w:r>
        <w:rPr>
          <w:rFonts w:ascii="宋体" w:hAnsi="宋体" w:eastAsia="宋体" w:cs="宋体"/>
          <w:color w:val="337AB7"/>
          <w:kern w:val="0"/>
          <w:sz w:val="21"/>
          <w:szCs w:val="21"/>
          <w:highlight w:val="none"/>
          <w:u w:val="none"/>
          <w:shd w:val="clear" w:fill="C9C9C9"/>
          <w:lang w:val="en-US" w:eastAsia="zh-CN" w:bidi="ar"/>
        </w:rPr>
        <w:fldChar w:fldCharType="end"/>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各普通高等学校：</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为深入学习贯彻党的二十大精神和习近平生态文明思想，全面贯彻落实全国和全市教育大会精神，落实北京市教育委员会《北京高等教育本科人才培养质量提升行动计划(2022-2024年)》(京教高〔2021〕8号)，培养大学生科研能力、创新精神和团队协作意识，2023年将组织举办第五届北京市大学生节能节水低碳减排社会实践与科技竞赛。该竞赛由北京市教育委员会主办，北京建筑大学承办。竞赛的具体安排如下。</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一、竞赛目的</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认真贯彻落实《教育部关于开展节能减排学校行动的通知》精神，加强节能减排、节约用水主题宣传，增强高校学生节能环保意识、科技创新意识和团队协作精神，集中展示首都大学生的科技创新水平、工程实践能力和社会调查能力，促进学生的创新能力和实践能力的培养，加强校际交流与合作，加快创新型人才培养，进一步提高人才培养质量，为促进教育教学改革和服务首都发展做出努力。</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二、竞赛主题</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低碳减排助力“双碳”落地、科技创新赋能绿色发展</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三、竞赛内容</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紧扣竞赛主题，作品包括实物制作(含模型)、软件、设计和社会实践调查报告等，体现新思想、新原理、新方法及新技术。</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四、竞赛规则</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1.参赛对象：北京市各高校在校本科生，参赛者必须以小组形式参赛，每组不得超过7人，可聘请指导教师1-3名。</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2.参赛单位：以学校为参赛单位，各参赛高校可举办校内初赛，根据初赛结</w:t>
      </w:r>
      <w:r>
        <w:rPr>
          <w:rFonts w:hint="eastAsia" w:ascii="微软雅黑" w:hAnsi="微软雅黑" w:eastAsia="微软雅黑" w:cs="微软雅黑"/>
          <w:color w:val="666666"/>
          <w:sz w:val="24"/>
          <w:szCs w:val="24"/>
          <w:highlight w:val="none"/>
        </w:rPr>
        <w:t>果限报15项作品，并对申报作品进行排序。</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3.作品申报：参赛作品分为环境类、能源类与企业命题类(见附件4)。参赛作品必须是竞赛学年度完成的作品。参赛学生必须在规定时间内完成设计，并按要求准时上交参赛作品，未按时上交者作自动放弃处理。通过下载附件获取申报书、说明书和汇总表等模板。</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企业命题类项目不占用常规赛道参赛项目名额，该类项目单独评审，所评奖项不占用常规赛道的奖项名额。对获奖项目团队给与奖金鼓励。</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4.作品评审：参赛作品需经过形式审查和初审，选拔入围决赛答辩的作品，具体数量由竞赛组委会根据参赛规模的实际情况确定。组委会根据作品的科学性、创新性、可行性和经济性等对作品进行评审，并提出获奖名单。获奖作品不能重复参与不同年度的“北京市大学生节能节水低碳减排社会实践与科技竞赛”评选。</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五、竞赛日程与安排</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1.竞赛报名:参赛单位于2023年3月19日前将加盖学校公章的《高校报名表》电子版扫描件发送到组委会联系邮箱(见附件1，报名时间以邮件为准)。</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2.推荐评委：参赛单位于2023年3月19日前将加盖学校公章的《评委推荐表》电子版扫描件发送到组委会联系邮箱(见附件2，报名时间以邮件为准)。</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3.作品申报：</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w:t>
      </w:r>
      <w:r>
        <w:rPr>
          <w:rFonts w:hint="eastAsia" w:ascii="微软雅黑" w:hAnsi="微软雅黑" w:eastAsia="微软雅黑" w:cs="微软雅黑"/>
          <w:color w:val="666666"/>
          <w:sz w:val="24"/>
          <w:szCs w:val="24"/>
          <w:highlight w:val="none"/>
        </w:rPr>
        <w:t>　各参赛高校将竞赛作品申报书于2023年5月14日24:00前进行网上提交(系统将于5月15日自动关闭，未按时在网上提交者视为放弃)。大赛组委会将为每所参赛高校分配账号，用于注册和上传作品。届时由各高校网上提交本校学生参赛作品，</w:t>
      </w:r>
      <w:r>
        <w:rPr>
          <w:rFonts w:hint="eastAsia" w:ascii="微软雅黑" w:hAnsi="微软雅黑" w:eastAsia="微软雅黑" w:cs="微软雅黑"/>
          <w:color w:val="666666"/>
          <w:sz w:val="24"/>
          <w:szCs w:val="24"/>
          <w:highlight w:val="none"/>
        </w:rPr>
        <w:t>为避免集中上传作品造成网络堵塞，请提前在网上提交作品。同时将加盖学校公章的《高校推荐汇总表》电子版扫描件发送到组委会联系邮箱(见附件3)。</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w:t>
      </w:r>
      <w:r>
        <w:rPr>
          <w:rFonts w:hint="eastAsia" w:ascii="微软雅黑" w:hAnsi="微软雅黑" w:eastAsia="微软雅黑" w:cs="微软雅黑"/>
          <w:color w:val="666666"/>
          <w:sz w:val="24"/>
          <w:szCs w:val="24"/>
          <w:highlight w:val="none"/>
        </w:rPr>
        <w:t>作品申报书分为匿名和非匿名两个版本，各参赛队</w:t>
      </w:r>
      <w:bookmarkStart w:id="0" w:name="_GoBack"/>
      <w:bookmarkEnd w:id="0"/>
      <w:r>
        <w:rPr>
          <w:rFonts w:hint="eastAsia" w:ascii="微软雅黑" w:hAnsi="微软雅黑" w:eastAsia="微软雅黑" w:cs="微软雅黑"/>
          <w:color w:val="666666"/>
          <w:sz w:val="24"/>
          <w:szCs w:val="24"/>
          <w:highlight w:val="none"/>
        </w:rPr>
        <w:t>伍须同时上传两个版本;申报材料中，参赛学生、指导教师及其排序以网上提交截止时间的最终版本为准，不得更改(姓名中如出现错别字，凭身份证复印件加盖单位公章证明后，可进行更正)。作品名称如需调整，需经组委会审定同意。</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4.初赛：初定于2023年5月15日至5月23日，进行作品形式审查和专家会评，确定入围决赛作品名单。</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5.决赛通知：初定于2023年5月26日公布入围决赛答辩名单和分组情况。</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6.决赛：初定于2023年6月中下旬，具体安排另行通知。</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7.以上日程安排为初定时间，根据有关情况变化可能会有调整，敬请关注竞赛网站发布的通知。</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六、奖项设置</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竞赛设立一、二、三等奖，优秀指导教师奖和优秀组织奖。</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七、联系方式</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1.竞赛有关信息在组委会秘书处网站发布。</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网址：http://hnxy.bucea.edu.cn</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2.大赛联系邮箱：bjjnjp2020@163.com</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3.竞赛通信地址：北京市大兴区黄村镇永源路15号北京建筑大学环境与能源工程学院。邮编：102616。</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4.大赛联系电话：</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杨老师：010-61209112，15801256024</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胡老师：010-61209425，13011804435</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附件：</w:t>
      </w:r>
    </w:p>
    <w:p>
      <w:pPr>
        <w:pStyle w:val="3"/>
        <w:keepNext w:val="0"/>
        <w:keepLines w:val="0"/>
        <w:widowControl/>
        <w:suppressLineNumbers w:val="0"/>
        <w:pBdr>
          <w:left w:val="none" w:color="auto" w:sz="0" w:space="0"/>
          <w:right w:val="none" w:color="auto" w:sz="0" w:space="0"/>
        </w:pBdr>
        <w:spacing w:before="0" w:beforeAutospacing="0" w:after="300" w:afterAutospacing="0" w:line="240" w:lineRule="atLeast"/>
        <w:ind w:left="0" w:right="0" w:firstLine="42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0066CC"/>
          <w:sz w:val="28"/>
          <w:szCs w:val="28"/>
          <w:highlight w:val="none"/>
          <w:u w:val="single"/>
        </w:rPr>
        <w:fldChar w:fldCharType="begin"/>
      </w:r>
      <w:r>
        <w:rPr>
          <w:rFonts w:hint="eastAsia" w:ascii="微软雅黑" w:hAnsi="微软雅黑" w:eastAsia="微软雅黑" w:cs="微软雅黑"/>
          <w:color w:val="0066CC"/>
          <w:sz w:val="28"/>
          <w:szCs w:val="28"/>
          <w:highlight w:val="none"/>
          <w:u w:val="single"/>
        </w:rPr>
        <w:instrText xml:space="preserve"> HYPERLINK "http://jw.beijing.gov.cn/gjc/tzgg_15688/202303/P020230308647348547606.doc" </w:instrText>
      </w:r>
      <w:r>
        <w:rPr>
          <w:rFonts w:hint="eastAsia" w:ascii="微软雅黑" w:hAnsi="微软雅黑" w:eastAsia="微软雅黑" w:cs="微软雅黑"/>
          <w:color w:val="0066CC"/>
          <w:sz w:val="28"/>
          <w:szCs w:val="28"/>
          <w:highlight w:val="none"/>
          <w:u w:val="single"/>
        </w:rPr>
        <w:fldChar w:fldCharType="separate"/>
      </w:r>
      <w:r>
        <w:rPr>
          <w:rStyle w:val="6"/>
          <w:rFonts w:hint="eastAsia" w:ascii="微软雅黑" w:hAnsi="微软雅黑" w:eastAsia="微软雅黑" w:cs="微软雅黑"/>
          <w:color w:val="0066CC"/>
          <w:sz w:val="28"/>
          <w:szCs w:val="28"/>
          <w:highlight w:val="none"/>
          <w:u w:val="single"/>
        </w:rPr>
        <w:t>1.高校报名表</w:t>
      </w:r>
      <w:r>
        <w:rPr>
          <w:rFonts w:hint="eastAsia" w:ascii="微软雅黑" w:hAnsi="微软雅黑" w:eastAsia="微软雅黑" w:cs="微软雅黑"/>
          <w:color w:val="0066CC"/>
          <w:sz w:val="28"/>
          <w:szCs w:val="28"/>
          <w:highlight w:val="none"/>
          <w:u w:val="single"/>
        </w:rPr>
        <w:fldChar w:fldCharType="end"/>
      </w:r>
    </w:p>
    <w:p>
      <w:pPr>
        <w:pStyle w:val="3"/>
        <w:keepNext w:val="0"/>
        <w:keepLines w:val="0"/>
        <w:widowControl/>
        <w:suppressLineNumbers w:val="0"/>
        <w:pBdr>
          <w:left w:val="none" w:color="auto" w:sz="0" w:space="0"/>
          <w:right w:val="none" w:color="auto" w:sz="0" w:space="0"/>
        </w:pBdr>
        <w:spacing w:before="0" w:beforeAutospacing="0" w:after="300" w:afterAutospacing="0" w:line="240" w:lineRule="atLeast"/>
        <w:ind w:left="0" w:right="0" w:firstLine="42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0066CC"/>
          <w:sz w:val="28"/>
          <w:szCs w:val="28"/>
          <w:highlight w:val="none"/>
          <w:u w:val="single"/>
        </w:rPr>
        <w:fldChar w:fldCharType="begin"/>
      </w:r>
      <w:r>
        <w:rPr>
          <w:rFonts w:hint="eastAsia" w:ascii="微软雅黑" w:hAnsi="微软雅黑" w:eastAsia="微软雅黑" w:cs="微软雅黑"/>
          <w:color w:val="0066CC"/>
          <w:sz w:val="28"/>
          <w:szCs w:val="28"/>
          <w:highlight w:val="none"/>
          <w:u w:val="single"/>
        </w:rPr>
        <w:instrText xml:space="preserve"> HYPERLINK "http://jw.beijing.gov.cn/gjc/tzgg_15688/202303/P020230308647348628756.doc" </w:instrText>
      </w:r>
      <w:r>
        <w:rPr>
          <w:rFonts w:hint="eastAsia" w:ascii="微软雅黑" w:hAnsi="微软雅黑" w:eastAsia="微软雅黑" w:cs="微软雅黑"/>
          <w:color w:val="0066CC"/>
          <w:sz w:val="28"/>
          <w:szCs w:val="28"/>
          <w:highlight w:val="none"/>
          <w:u w:val="single"/>
        </w:rPr>
        <w:fldChar w:fldCharType="separate"/>
      </w:r>
      <w:r>
        <w:rPr>
          <w:rStyle w:val="6"/>
          <w:rFonts w:hint="eastAsia" w:ascii="微软雅黑" w:hAnsi="微软雅黑" w:eastAsia="微软雅黑" w:cs="微软雅黑"/>
          <w:color w:val="0066CC"/>
          <w:sz w:val="28"/>
          <w:szCs w:val="28"/>
          <w:highlight w:val="none"/>
          <w:u w:val="single"/>
        </w:rPr>
        <w:t>2.评委推荐表</w:t>
      </w:r>
      <w:r>
        <w:rPr>
          <w:rFonts w:hint="eastAsia" w:ascii="微软雅黑" w:hAnsi="微软雅黑" w:eastAsia="微软雅黑" w:cs="微软雅黑"/>
          <w:color w:val="0066CC"/>
          <w:sz w:val="28"/>
          <w:szCs w:val="28"/>
          <w:highlight w:val="none"/>
          <w:u w:val="single"/>
        </w:rPr>
        <w:fldChar w:fldCharType="end"/>
      </w:r>
    </w:p>
    <w:p>
      <w:pPr>
        <w:pStyle w:val="3"/>
        <w:keepNext w:val="0"/>
        <w:keepLines w:val="0"/>
        <w:widowControl/>
        <w:suppressLineNumbers w:val="0"/>
        <w:pBdr>
          <w:left w:val="none" w:color="auto" w:sz="0" w:space="0"/>
          <w:right w:val="none" w:color="auto" w:sz="0" w:space="0"/>
        </w:pBdr>
        <w:spacing w:before="0" w:beforeAutospacing="0" w:after="300" w:afterAutospacing="0" w:line="240" w:lineRule="atLeast"/>
        <w:ind w:left="0" w:right="0" w:firstLine="42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0066CC"/>
          <w:sz w:val="28"/>
          <w:szCs w:val="28"/>
          <w:highlight w:val="none"/>
          <w:u w:val="single"/>
        </w:rPr>
        <w:fldChar w:fldCharType="begin"/>
      </w:r>
      <w:r>
        <w:rPr>
          <w:rFonts w:hint="eastAsia" w:ascii="微软雅黑" w:hAnsi="微软雅黑" w:eastAsia="微软雅黑" w:cs="微软雅黑"/>
          <w:color w:val="0066CC"/>
          <w:sz w:val="28"/>
          <w:szCs w:val="28"/>
          <w:highlight w:val="none"/>
          <w:u w:val="single"/>
        </w:rPr>
        <w:instrText xml:space="preserve"> HYPERLINK "http://jw.beijing.gov.cn/gjc/tzgg_15688/202303/P020230308647348681667.doc" </w:instrText>
      </w:r>
      <w:r>
        <w:rPr>
          <w:rFonts w:hint="eastAsia" w:ascii="微软雅黑" w:hAnsi="微软雅黑" w:eastAsia="微软雅黑" w:cs="微软雅黑"/>
          <w:color w:val="0066CC"/>
          <w:sz w:val="28"/>
          <w:szCs w:val="28"/>
          <w:highlight w:val="none"/>
          <w:u w:val="single"/>
        </w:rPr>
        <w:fldChar w:fldCharType="separate"/>
      </w:r>
      <w:r>
        <w:rPr>
          <w:rStyle w:val="6"/>
          <w:rFonts w:hint="eastAsia" w:ascii="微软雅黑" w:hAnsi="微软雅黑" w:eastAsia="微软雅黑" w:cs="微软雅黑"/>
          <w:color w:val="0066CC"/>
          <w:sz w:val="28"/>
          <w:szCs w:val="28"/>
          <w:highlight w:val="none"/>
          <w:u w:val="single"/>
        </w:rPr>
        <w:t>3.高校推荐汇总表</w:t>
      </w:r>
      <w:r>
        <w:rPr>
          <w:rFonts w:hint="eastAsia" w:ascii="微软雅黑" w:hAnsi="微软雅黑" w:eastAsia="微软雅黑" w:cs="微软雅黑"/>
          <w:color w:val="0066CC"/>
          <w:sz w:val="28"/>
          <w:szCs w:val="28"/>
          <w:highlight w:val="none"/>
          <w:u w:val="single"/>
        </w:rPr>
        <w:fldChar w:fldCharType="end"/>
      </w:r>
    </w:p>
    <w:p>
      <w:pPr>
        <w:pStyle w:val="3"/>
        <w:keepNext w:val="0"/>
        <w:keepLines w:val="0"/>
        <w:widowControl/>
        <w:suppressLineNumbers w:val="0"/>
        <w:pBdr>
          <w:left w:val="none" w:color="auto" w:sz="0" w:space="0"/>
          <w:right w:val="none" w:color="auto" w:sz="0" w:space="0"/>
        </w:pBdr>
        <w:spacing w:before="0" w:beforeAutospacing="0" w:after="300" w:afterAutospacing="0" w:line="240" w:lineRule="atLeast"/>
        <w:ind w:left="0" w:right="0" w:firstLine="42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0066CC"/>
          <w:sz w:val="28"/>
          <w:szCs w:val="28"/>
          <w:highlight w:val="none"/>
          <w:u w:val="single"/>
        </w:rPr>
        <w:fldChar w:fldCharType="begin"/>
      </w:r>
      <w:r>
        <w:rPr>
          <w:rFonts w:hint="eastAsia" w:ascii="微软雅黑" w:hAnsi="微软雅黑" w:eastAsia="微软雅黑" w:cs="微软雅黑"/>
          <w:color w:val="0066CC"/>
          <w:sz w:val="28"/>
          <w:szCs w:val="28"/>
          <w:highlight w:val="none"/>
          <w:u w:val="single"/>
        </w:rPr>
        <w:instrText xml:space="preserve"> HYPERLINK "http://jw.beijing.gov.cn/gjc/tzgg_15688/202303/P020230308647348866524.doc" </w:instrText>
      </w:r>
      <w:r>
        <w:rPr>
          <w:rFonts w:hint="eastAsia" w:ascii="微软雅黑" w:hAnsi="微软雅黑" w:eastAsia="微软雅黑" w:cs="微软雅黑"/>
          <w:color w:val="0066CC"/>
          <w:sz w:val="28"/>
          <w:szCs w:val="28"/>
          <w:highlight w:val="none"/>
          <w:u w:val="single"/>
        </w:rPr>
        <w:fldChar w:fldCharType="separate"/>
      </w:r>
      <w:r>
        <w:rPr>
          <w:rStyle w:val="6"/>
          <w:rFonts w:hint="eastAsia" w:ascii="微软雅黑" w:hAnsi="微软雅黑" w:eastAsia="微软雅黑" w:cs="微软雅黑"/>
          <w:color w:val="0066CC"/>
          <w:sz w:val="28"/>
          <w:szCs w:val="28"/>
          <w:highlight w:val="none"/>
          <w:u w:val="single"/>
        </w:rPr>
        <w:t>4.企业命题类项目比赛方案</w:t>
      </w:r>
      <w:r>
        <w:rPr>
          <w:rFonts w:hint="eastAsia" w:ascii="微软雅黑" w:hAnsi="微软雅黑" w:eastAsia="微软雅黑" w:cs="微软雅黑"/>
          <w:color w:val="0066CC"/>
          <w:sz w:val="28"/>
          <w:szCs w:val="28"/>
          <w:highlight w:val="none"/>
          <w:u w:val="single"/>
        </w:rPr>
        <w:fldChar w:fldCharType="end"/>
      </w:r>
    </w:p>
    <w:p>
      <w:pPr>
        <w:pStyle w:val="3"/>
        <w:keepNext w:val="0"/>
        <w:keepLines w:val="0"/>
        <w:widowControl/>
        <w:suppressLineNumbers w:val="0"/>
        <w:pBdr>
          <w:left w:val="none" w:color="auto" w:sz="0" w:space="0"/>
          <w:right w:val="none" w:color="auto" w:sz="0" w:space="0"/>
        </w:pBdr>
        <w:spacing w:before="0" w:beforeAutospacing="0" w:after="300" w:afterAutospacing="0" w:line="240" w:lineRule="atLeast"/>
        <w:ind w:left="0" w:right="0" w:firstLine="42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0066CC"/>
          <w:sz w:val="28"/>
          <w:szCs w:val="28"/>
          <w:highlight w:val="none"/>
          <w:u w:val="single"/>
        </w:rPr>
        <w:fldChar w:fldCharType="begin"/>
      </w:r>
      <w:r>
        <w:rPr>
          <w:rFonts w:hint="eastAsia" w:ascii="微软雅黑" w:hAnsi="微软雅黑" w:eastAsia="微软雅黑" w:cs="微软雅黑"/>
          <w:color w:val="0066CC"/>
          <w:sz w:val="28"/>
          <w:szCs w:val="28"/>
          <w:highlight w:val="none"/>
          <w:u w:val="single"/>
        </w:rPr>
        <w:instrText xml:space="preserve"> HYPERLINK "http://jw.beijing.gov.cn/gjc/tzgg_15688/202303/P020230308647349244982.doc" </w:instrText>
      </w:r>
      <w:r>
        <w:rPr>
          <w:rFonts w:hint="eastAsia" w:ascii="微软雅黑" w:hAnsi="微软雅黑" w:eastAsia="微软雅黑" w:cs="微软雅黑"/>
          <w:color w:val="0066CC"/>
          <w:sz w:val="28"/>
          <w:szCs w:val="28"/>
          <w:highlight w:val="none"/>
          <w:u w:val="single"/>
        </w:rPr>
        <w:fldChar w:fldCharType="separate"/>
      </w:r>
      <w:r>
        <w:rPr>
          <w:rStyle w:val="6"/>
          <w:rFonts w:hint="eastAsia" w:ascii="微软雅黑" w:hAnsi="微软雅黑" w:eastAsia="微软雅黑" w:cs="微软雅黑"/>
          <w:color w:val="0066CC"/>
          <w:sz w:val="28"/>
          <w:szCs w:val="28"/>
          <w:highlight w:val="none"/>
          <w:u w:val="single"/>
        </w:rPr>
        <w:t>5.科技作品类申报书及报告格式</w:t>
      </w:r>
      <w:r>
        <w:rPr>
          <w:rFonts w:hint="eastAsia" w:ascii="微软雅黑" w:hAnsi="微软雅黑" w:eastAsia="微软雅黑" w:cs="微软雅黑"/>
          <w:color w:val="0066CC"/>
          <w:sz w:val="28"/>
          <w:szCs w:val="28"/>
          <w:highlight w:val="none"/>
          <w:u w:val="single"/>
        </w:rPr>
        <w:fldChar w:fldCharType="end"/>
      </w:r>
    </w:p>
    <w:p>
      <w:pPr>
        <w:pStyle w:val="3"/>
        <w:keepNext w:val="0"/>
        <w:keepLines w:val="0"/>
        <w:widowControl/>
        <w:suppressLineNumbers w:val="0"/>
        <w:pBdr>
          <w:left w:val="none" w:color="auto" w:sz="0" w:space="0"/>
          <w:right w:val="none" w:color="auto" w:sz="0" w:space="0"/>
        </w:pBdr>
        <w:spacing w:before="0" w:beforeAutospacing="0" w:after="300" w:afterAutospacing="0" w:line="240" w:lineRule="atLeast"/>
        <w:ind w:left="0" w:right="0" w:firstLine="42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0066CC"/>
          <w:sz w:val="28"/>
          <w:szCs w:val="28"/>
          <w:highlight w:val="none"/>
          <w:u w:val="single"/>
        </w:rPr>
        <w:fldChar w:fldCharType="begin"/>
      </w:r>
      <w:r>
        <w:rPr>
          <w:rFonts w:hint="eastAsia" w:ascii="微软雅黑" w:hAnsi="微软雅黑" w:eastAsia="微软雅黑" w:cs="微软雅黑"/>
          <w:color w:val="0066CC"/>
          <w:sz w:val="28"/>
          <w:szCs w:val="28"/>
          <w:highlight w:val="none"/>
          <w:u w:val="single"/>
        </w:rPr>
        <w:instrText xml:space="preserve"> HYPERLINK "http://jw.beijing.gov.cn/gjc/tzgg_15688/202303/P020230308647349627548.doc" </w:instrText>
      </w:r>
      <w:r>
        <w:rPr>
          <w:rFonts w:hint="eastAsia" w:ascii="微软雅黑" w:hAnsi="微软雅黑" w:eastAsia="微软雅黑" w:cs="微软雅黑"/>
          <w:color w:val="0066CC"/>
          <w:sz w:val="28"/>
          <w:szCs w:val="28"/>
          <w:highlight w:val="none"/>
          <w:u w:val="single"/>
        </w:rPr>
        <w:fldChar w:fldCharType="separate"/>
      </w:r>
      <w:r>
        <w:rPr>
          <w:rStyle w:val="6"/>
          <w:rFonts w:hint="eastAsia" w:ascii="微软雅黑" w:hAnsi="微软雅黑" w:eastAsia="微软雅黑" w:cs="微软雅黑"/>
          <w:color w:val="0066CC"/>
          <w:sz w:val="28"/>
          <w:szCs w:val="28"/>
          <w:highlight w:val="none"/>
          <w:u w:val="single"/>
        </w:rPr>
        <w:t>6.科技作品类申报书及报告格式（匿名版）</w:t>
      </w:r>
      <w:r>
        <w:rPr>
          <w:rFonts w:hint="eastAsia" w:ascii="微软雅黑" w:hAnsi="微软雅黑" w:eastAsia="微软雅黑" w:cs="微软雅黑"/>
          <w:color w:val="0066CC"/>
          <w:sz w:val="28"/>
          <w:szCs w:val="28"/>
          <w:highlight w:val="none"/>
          <w:u w:val="single"/>
        </w:rPr>
        <w:fldChar w:fldCharType="end"/>
      </w:r>
    </w:p>
    <w:p>
      <w:pPr>
        <w:pStyle w:val="3"/>
        <w:keepNext w:val="0"/>
        <w:keepLines w:val="0"/>
        <w:widowControl/>
        <w:suppressLineNumbers w:val="0"/>
        <w:pBdr>
          <w:left w:val="none" w:color="auto" w:sz="0" w:space="0"/>
          <w:right w:val="none" w:color="auto" w:sz="0" w:space="0"/>
        </w:pBdr>
        <w:spacing w:before="0" w:beforeAutospacing="0" w:after="300" w:afterAutospacing="0" w:line="240" w:lineRule="atLeast"/>
        <w:ind w:left="0" w:right="0" w:firstLine="42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0066CC"/>
          <w:sz w:val="28"/>
          <w:szCs w:val="28"/>
          <w:highlight w:val="none"/>
          <w:u w:val="single"/>
        </w:rPr>
        <w:fldChar w:fldCharType="begin"/>
      </w:r>
      <w:r>
        <w:rPr>
          <w:rFonts w:hint="eastAsia" w:ascii="微软雅黑" w:hAnsi="微软雅黑" w:eastAsia="微软雅黑" w:cs="微软雅黑"/>
          <w:color w:val="0066CC"/>
          <w:sz w:val="28"/>
          <w:szCs w:val="28"/>
          <w:highlight w:val="none"/>
          <w:u w:val="single"/>
        </w:rPr>
        <w:instrText xml:space="preserve"> HYPERLINK "http://jw.beijing.gov.cn/gjc/tzgg_15688/202303/P020230308647349994322.doc" </w:instrText>
      </w:r>
      <w:r>
        <w:rPr>
          <w:rFonts w:hint="eastAsia" w:ascii="微软雅黑" w:hAnsi="微软雅黑" w:eastAsia="微软雅黑" w:cs="微软雅黑"/>
          <w:color w:val="0066CC"/>
          <w:sz w:val="28"/>
          <w:szCs w:val="28"/>
          <w:highlight w:val="none"/>
          <w:u w:val="single"/>
        </w:rPr>
        <w:fldChar w:fldCharType="separate"/>
      </w:r>
      <w:r>
        <w:rPr>
          <w:rStyle w:val="6"/>
          <w:rFonts w:hint="eastAsia" w:ascii="微软雅黑" w:hAnsi="微软雅黑" w:eastAsia="微软雅黑" w:cs="微软雅黑"/>
          <w:color w:val="0066CC"/>
          <w:sz w:val="28"/>
          <w:szCs w:val="28"/>
          <w:highlight w:val="none"/>
          <w:u w:val="single"/>
        </w:rPr>
        <w:t>7.社会实践调查报告类申报书及报告格式</w:t>
      </w:r>
      <w:r>
        <w:rPr>
          <w:rFonts w:hint="eastAsia" w:ascii="微软雅黑" w:hAnsi="微软雅黑" w:eastAsia="微软雅黑" w:cs="微软雅黑"/>
          <w:color w:val="0066CC"/>
          <w:sz w:val="28"/>
          <w:szCs w:val="28"/>
          <w:highlight w:val="none"/>
          <w:u w:val="single"/>
        </w:rPr>
        <w:fldChar w:fldCharType="end"/>
      </w:r>
    </w:p>
    <w:p>
      <w:pPr>
        <w:pStyle w:val="3"/>
        <w:keepNext w:val="0"/>
        <w:keepLines w:val="0"/>
        <w:widowControl/>
        <w:suppressLineNumbers w:val="0"/>
        <w:pBdr>
          <w:left w:val="none" w:color="auto" w:sz="0" w:space="0"/>
          <w:right w:val="none" w:color="auto" w:sz="0" w:space="0"/>
        </w:pBdr>
        <w:spacing w:before="0" w:beforeAutospacing="0" w:after="300" w:afterAutospacing="0" w:line="240" w:lineRule="atLeast"/>
        <w:ind w:left="0" w:right="0" w:firstLine="42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0066CC"/>
          <w:sz w:val="28"/>
          <w:szCs w:val="28"/>
          <w:highlight w:val="none"/>
          <w:u w:val="single"/>
        </w:rPr>
        <w:fldChar w:fldCharType="begin"/>
      </w:r>
      <w:r>
        <w:rPr>
          <w:rFonts w:hint="eastAsia" w:ascii="微软雅黑" w:hAnsi="微软雅黑" w:eastAsia="微软雅黑" w:cs="微软雅黑"/>
          <w:color w:val="0066CC"/>
          <w:sz w:val="28"/>
          <w:szCs w:val="28"/>
          <w:highlight w:val="none"/>
          <w:u w:val="single"/>
        </w:rPr>
        <w:instrText xml:space="preserve"> HYPERLINK "http://jw.beijing.gov.cn/gjc/tzgg_15688/202303/P020230308647350369759.doc" </w:instrText>
      </w:r>
      <w:r>
        <w:rPr>
          <w:rFonts w:hint="eastAsia" w:ascii="微软雅黑" w:hAnsi="微软雅黑" w:eastAsia="微软雅黑" w:cs="微软雅黑"/>
          <w:color w:val="0066CC"/>
          <w:sz w:val="28"/>
          <w:szCs w:val="28"/>
          <w:highlight w:val="none"/>
          <w:u w:val="single"/>
        </w:rPr>
        <w:fldChar w:fldCharType="separate"/>
      </w:r>
      <w:r>
        <w:rPr>
          <w:rStyle w:val="6"/>
          <w:rFonts w:hint="eastAsia" w:ascii="微软雅黑" w:hAnsi="微软雅黑" w:eastAsia="微软雅黑" w:cs="微软雅黑"/>
          <w:color w:val="0066CC"/>
          <w:sz w:val="28"/>
          <w:szCs w:val="28"/>
          <w:highlight w:val="none"/>
          <w:u w:val="single"/>
        </w:rPr>
        <w:t>8.社会实践调查报告类申报书及报告格式（匿名版）</w:t>
      </w:r>
      <w:r>
        <w:rPr>
          <w:rFonts w:hint="eastAsia" w:ascii="微软雅黑" w:hAnsi="微软雅黑" w:eastAsia="微软雅黑" w:cs="微软雅黑"/>
          <w:color w:val="0066CC"/>
          <w:sz w:val="28"/>
          <w:szCs w:val="28"/>
          <w:highlight w:val="none"/>
          <w:u w:val="single"/>
        </w:rPr>
        <w:fldChar w:fldCharType="end"/>
      </w:r>
    </w:p>
    <w:p>
      <w:pPr>
        <w:pStyle w:val="3"/>
        <w:keepNext w:val="0"/>
        <w:keepLines w:val="0"/>
        <w:widowControl/>
        <w:suppressLineNumbers w:val="0"/>
        <w:pBdr>
          <w:left w:val="none" w:color="auto" w:sz="0" w:space="0"/>
          <w:right w:val="none" w:color="auto" w:sz="0" w:space="0"/>
        </w:pBdr>
        <w:spacing w:before="0" w:beforeAutospacing="0" w:after="300" w:afterAutospacing="0" w:line="240" w:lineRule="atLeast"/>
        <w:ind w:left="0" w:right="0" w:firstLine="420"/>
        <w:jc w:val="both"/>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0066CC"/>
          <w:sz w:val="28"/>
          <w:szCs w:val="28"/>
          <w:highlight w:val="none"/>
          <w:u w:val="none"/>
        </w:rPr>
        <w:fldChar w:fldCharType="begin"/>
      </w:r>
      <w:r>
        <w:rPr>
          <w:rFonts w:hint="eastAsia" w:ascii="微软雅黑" w:hAnsi="微软雅黑" w:eastAsia="微软雅黑" w:cs="微软雅黑"/>
          <w:color w:val="0066CC"/>
          <w:sz w:val="28"/>
          <w:szCs w:val="28"/>
          <w:highlight w:val="none"/>
          <w:u w:val="none"/>
        </w:rPr>
        <w:instrText xml:space="preserve"> HYPERLINK "http://jw.beijing.gov.cn/gjc/tzgg_15688/202303/P020230308647350732183.doc" </w:instrText>
      </w:r>
      <w:r>
        <w:rPr>
          <w:rFonts w:hint="eastAsia" w:ascii="微软雅黑" w:hAnsi="微软雅黑" w:eastAsia="微软雅黑" w:cs="微软雅黑"/>
          <w:color w:val="0066CC"/>
          <w:sz w:val="28"/>
          <w:szCs w:val="28"/>
          <w:highlight w:val="none"/>
          <w:u w:val="none"/>
        </w:rPr>
        <w:fldChar w:fldCharType="separate"/>
      </w:r>
      <w:r>
        <w:rPr>
          <w:rStyle w:val="6"/>
          <w:rFonts w:hint="eastAsia" w:ascii="微软雅黑" w:hAnsi="微软雅黑" w:eastAsia="微软雅黑" w:cs="微软雅黑"/>
          <w:color w:val="0066CC"/>
          <w:sz w:val="28"/>
          <w:szCs w:val="28"/>
          <w:highlight w:val="none"/>
          <w:u w:val="none"/>
        </w:rPr>
        <w:t>9.科技作品类说明书、社会实践调查报告格式规范</w:t>
      </w:r>
      <w:r>
        <w:rPr>
          <w:rFonts w:hint="eastAsia" w:ascii="微软雅黑" w:hAnsi="微软雅黑" w:eastAsia="微软雅黑" w:cs="微软雅黑"/>
          <w:color w:val="0066CC"/>
          <w:sz w:val="28"/>
          <w:szCs w:val="28"/>
          <w:highlight w:val="none"/>
          <w:u w:val="none"/>
        </w:rPr>
        <w:fldChar w:fldCharType="end"/>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right"/>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北京市大学生节能节水低碳减排</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right"/>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社会实践与科技竞赛组委会</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right"/>
        <w:rPr>
          <w:rFonts w:hint="eastAsia" w:ascii="微软雅黑" w:hAnsi="微软雅黑" w:eastAsia="微软雅黑" w:cs="微软雅黑"/>
          <w:color w:val="666666"/>
          <w:sz w:val="24"/>
          <w:szCs w:val="24"/>
          <w:highlight w:val="none"/>
        </w:rPr>
      </w:pPr>
      <w:r>
        <w:rPr>
          <w:rFonts w:hint="eastAsia" w:ascii="微软雅黑" w:hAnsi="微软雅黑" w:eastAsia="微软雅黑" w:cs="微软雅黑"/>
          <w:color w:val="666666"/>
          <w:sz w:val="24"/>
          <w:szCs w:val="24"/>
          <w:highlight w:val="none"/>
        </w:rPr>
        <w:t>　　2023年3月8日</w:t>
      </w:r>
    </w:p>
    <w:p>
      <w:pPr>
        <w:pStyle w:val="3"/>
        <w:keepNext w:val="0"/>
        <w:keepLines w:val="0"/>
        <w:widowControl/>
        <w:suppressLineNumbers w:val="0"/>
        <w:pBdr>
          <w:left w:val="none" w:color="auto" w:sz="0" w:space="0"/>
          <w:right w:val="none" w:color="auto" w:sz="0" w:space="0"/>
        </w:pBdr>
        <w:spacing w:before="0" w:beforeAutospacing="0" w:after="300" w:afterAutospacing="0" w:line="480" w:lineRule="atLeast"/>
        <w:ind w:left="0" w:right="0"/>
        <w:jc w:val="both"/>
        <w:rPr>
          <w:rFonts w:hint="eastAsia" w:ascii="微软雅黑" w:hAnsi="微软雅黑" w:eastAsia="微软雅黑" w:cs="微软雅黑"/>
          <w:color w:val="666666"/>
          <w:sz w:val="24"/>
          <w:szCs w:val="24"/>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5MWVjYWU2MTUyOGRjZjhhZjg0ZjQ2NDZiMDA5NmMifQ=="/>
  </w:docVars>
  <w:rsids>
    <w:rsidRoot w:val="00000000"/>
    <w:rsid w:val="2CE071CC"/>
    <w:rsid w:val="5E1C3D85"/>
    <w:rsid w:val="6BD80915"/>
    <w:rsid w:val="6DC76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1817</Words>
  <Characters>1993</Characters>
  <Lines>0</Lines>
  <Paragraphs>0</Paragraphs>
  <TotalTime>136</TotalTime>
  <ScaleCrop>false</ScaleCrop>
  <LinksUpToDate>false</LinksUpToDate>
  <CharactersWithSpaces>2073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2023-03-10T05:31:00Z</dcterms:created>
  <dc:creator>xieji</dc:creator>
  <cp:lastModifiedBy>CHOSEN.1</cp:lastModifiedBy>
  <dcterms:modified xsi:type="dcterms:W3CDTF">2023-05-05T06:03:25Z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7049A07FE5D345FB84BCEEFF43C7B705</vt:lpwstr>
  </property>
</Properties>
</file>