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D2" w:rsidRDefault="009D46D2" w:rsidP="009D46D2">
      <w:pPr>
        <w:jc w:val="center"/>
        <w:rPr>
          <w:rFonts w:ascii="Arial" w:eastAsia="黑体" w:hAnsi="Arial" w:cs="Times New Roman"/>
          <w:b/>
          <w:bCs/>
          <w:sz w:val="44"/>
          <w:szCs w:val="44"/>
        </w:rPr>
      </w:pPr>
      <w:r w:rsidRPr="009D46D2">
        <w:rPr>
          <w:rFonts w:ascii="Arial" w:eastAsia="黑体" w:hAnsi="Arial" w:cs="Times New Roman" w:hint="eastAsia"/>
          <w:b/>
          <w:bCs/>
          <w:sz w:val="44"/>
          <w:szCs w:val="44"/>
        </w:rPr>
        <w:t>201</w:t>
      </w:r>
      <w:r w:rsidR="00D448A1">
        <w:rPr>
          <w:rFonts w:ascii="Arial" w:eastAsia="黑体" w:hAnsi="Arial" w:cs="Times New Roman" w:hint="eastAsia"/>
          <w:b/>
          <w:bCs/>
          <w:sz w:val="44"/>
          <w:szCs w:val="44"/>
        </w:rPr>
        <w:t>9</w:t>
      </w:r>
      <w:r w:rsidRPr="009D46D2">
        <w:rPr>
          <w:rFonts w:ascii="Arial" w:eastAsia="黑体" w:hAnsi="Arial" w:cs="Times New Roman" w:hint="eastAsia"/>
          <w:b/>
          <w:bCs/>
          <w:sz w:val="44"/>
          <w:szCs w:val="44"/>
        </w:rPr>
        <w:t>年化学工程学</w:t>
      </w:r>
      <w:proofErr w:type="gramStart"/>
      <w:r w:rsidRPr="009D46D2">
        <w:rPr>
          <w:rFonts w:ascii="Arial" w:eastAsia="黑体" w:hAnsi="Arial" w:cs="Times New Roman" w:hint="eastAsia"/>
          <w:b/>
          <w:bCs/>
          <w:sz w:val="44"/>
          <w:szCs w:val="44"/>
        </w:rPr>
        <w:t>院转专业</w:t>
      </w:r>
      <w:proofErr w:type="gramEnd"/>
      <w:r w:rsidRPr="009D46D2">
        <w:rPr>
          <w:rFonts w:ascii="Arial" w:eastAsia="黑体" w:hAnsi="Arial" w:cs="Times New Roman" w:hint="eastAsia"/>
          <w:b/>
          <w:bCs/>
          <w:sz w:val="44"/>
          <w:szCs w:val="44"/>
        </w:rPr>
        <w:t>招生计划表</w:t>
      </w:r>
    </w:p>
    <w:p w:rsidR="00DC3F01" w:rsidRPr="009D46D2" w:rsidRDefault="00DC3F01" w:rsidP="009D46D2">
      <w:pPr>
        <w:jc w:val="center"/>
        <w:rPr>
          <w:rFonts w:ascii="Arial" w:eastAsia="黑体" w:hAnsi="Arial" w:cs="Times New Roman"/>
          <w:b/>
          <w:bCs/>
          <w:sz w:val="44"/>
          <w:szCs w:val="44"/>
        </w:rPr>
      </w:pPr>
    </w:p>
    <w:tbl>
      <w:tblPr>
        <w:tblW w:w="5000" w:type="pct"/>
        <w:jc w:val="center"/>
        <w:tblLook w:val="04A0" w:firstRow="1" w:lastRow="0" w:firstColumn="1" w:lastColumn="0" w:noHBand="0" w:noVBand="1"/>
      </w:tblPr>
      <w:tblGrid>
        <w:gridCol w:w="1808"/>
        <w:gridCol w:w="1560"/>
        <w:gridCol w:w="1276"/>
        <w:gridCol w:w="10992"/>
      </w:tblGrid>
      <w:tr w:rsidR="006B0A65" w:rsidRPr="003333C8" w:rsidTr="006B0A65">
        <w:trPr>
          <w:trHeight w:val="754"/>
          <w:jc w:val="center"/>
        </w:trPr>
        <w:tc>
          <w:tcPr>
            <w:tcW w:w="578" w:type="pct"/>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专业名称</w:t>
            </w:r>
          </w:p>
        </w:tc>
        <w:tc>
          <w:tcPr>
            <w:tcW w:w="499"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招生年级</w:t>
            </w:r>
          </w:p>
        </w:tc>
        <w:tc>
          <w:tcPr>
            <w:tcW w:w="408" w:type="pct"/>
            <w:tcBorders>
              <w:top w:val="single" w:sz="4" w:space="0" w:color="auto"/>
              <w:left w:val="nil"/>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招生人数</w:t>
            </w:r>
          </w:p>
        </w:tc>
        <w:tc>
          <w:tcPr>
            <w:tcW w:w="3515" w:type="pct"/>
            <w:tcBorders>
              <w:top w:val="single" w:sz="4" w:space="0" w:color="auto"/>
              <w:left w:val="nil"/>
              <w:bottom w:val="single" w:sz="4" w:space="0" w:color="auto"/>
              <w:right w:val="single" w:sz="4" w:space="0" w:color="auto"/>
            </w:tcBorders>
            <w:vAlign w:val="center"/>
            <w:hideMark/>
          </w:tcPr>
          <w:p w:rsidR="003333C8" w:rsidRPr="003333C8" w:rsidRDefault="00590D93" w:rsidP="003333C8">
            <w:pPr>
              <w:widowControl/>
              <w:snapToGrid w:val="0"/>
              <w:jc w:val="left"/>
              <w:rPr>
                <w:rFonts w:ascii="宋体" w:eastAsia="宋体" w:hAnsi="宋体" w:cs="宋体"/>
                <w:kern w:val="0"/>
                <w:sz w:val="24"/>
                <w:szCs w:val="24"/>
              </w:rPr>
            </w:pPr>
            <w:r w:rsidRPr="00590D93">
              <w:rPr>
                <w:rFonts w:ascii="楷体_gb2312" w:eastAsia="楷体_gb2312" w:hAnsi="宋体" w:cs="宋体" w:hint="eastAsia"/>
                <w:b/>
                <w:bCs/>
                <w:kern w:val="0"/>
                <w:sz w:val="24"/>
                <w:szCs w:val="21"/>
              </w:rPr>
              <w:t>符合拟转入专业当年公布的具体转专业招生条件的非定向委培的学生均可提出转专业申请，定向委培的学生经定向委培单位书面同意的，也可以提出转专业申请。</w:t>
            </w:r>
            <w:proofErr w:type="gramStart"/>
            <w:r w:rsidRPr="00590D93">
              <w:rPr>
                <w:rFonts w:ascii="楷体_gb2312" w:eastAsia="楷体_gb2312" w:hAnsi="宋体" w:cs="宋体" w:hint="eastAsia"/>
                <w:b/>
                <w:bCs/>
                <w:kern w:val="0"/>
                <w:sz w:val="24"/>
                <w:szCs w:val="21"/>
              </w:rPr>
              <w:t>本教学</w:t>
            </w:r>
            <w:proofErr w:type="gramEnd"/>
            <w:r w:rsidRPr="00590D93">
              <w:rPr>
                <w:rFonts w:ascii="楷体_gb2312" w:eastAsia="楷体_gb2312" w:hAnsi="宋体" w:cs="宋体" w:hint="eastAsia"/>
                <w:b/>
                <w:bCs/>
                <w:kern w:val="0"/>
                <w:sz w:val="24"/>
                <w:szCs w:val="21"/>
              </w:rPr>
              <w:t>院（系）各专业提出的具体条件如下：</w:t>
            </w:r>
          </w:p>
        </w:tc>
      </w:tr>
      <w:tr w:rsidR="009D46D2" w:rsidRPr="003333C8" w:rsidTr="00CD47D1">
        <w:trPr>
          <w:trHeight w:val="681"/>
          <w:jc w:val="center"/>
        </w:trPr>
        <w:tc>
          <w:tcPr>
            <w:tcW w:w="578" w:type="pct"/>
            <w:tcBorders>
              <w:top w:val="nil"/>
              <w:left w:val="single" w:sz="4" w:space="0" w:color="auto"/>
              <w:bottom w:val="single" w:sz="4" w:space="0" w:color="auto"/>
              <w:right w:val="single" w:sz="4" w:space="0" w:color="auto"/>
            </w:tcBorders>
            <w:vAlign w:val="center"/>
            <w:hideMark/>
          </w:tcPr>
          <w:p w:rsidR="009D46D2" w:rsidRPr="000B6672" w:rsidRDefault="009D46D2" w:rsidP="00CD47D1">
            <w:pPr>
              <w:jc w:val="center"/>
            </w:pPr>
            <w:r w:rsidRPr="000B6672">
              <w:rPr>
                <w:rFonts w:hint="eastAsia"/>
              </w:rPr>
              <w:t>化学工程与工艺</w:t>
            </w:r>
          </w:p>
        </w:tc>
        <w:tc>
          <w:tcPr>
            <w:tcW w:w="499" w:type="pct"/>
            <w:tcBorders>
              <w:top w:val="nil"/>
              <w:left w:val="nil"/>
              <w:bottom w:val="single" w:sz="4" w:space="0" w:color="auto"/>
              <w:right w:val="single" w:sz="4" w:space="0" w:color="auto"/>
            </w:tcBorders>
            <w:vAlign w:val="center"/>
            <w:hideMark/>
          </w:tcPr>
          <w:p w:rsidR="009D46D2" w:rsidRPr="000B6672" w:rsidRDefault="006B0A65" w:rsidP="00D448A1">
            <w:pPr>
              <w:jc w:val="center"/>
            </w:pPr>
            <w:r>
              <w:rPr>
                <w:rFonts w:hint="eastAsia"/>
              </w:rPr>
              <w:t>201</w:t>
            </w:r>
            <w:r w:rsidR="00D448A1">
              <w:rPr>
                <w:rFonts w:hint="eastAsia"/>
              </w:rPr>
              <w:t>8</w:t>
            </w:r>
            <w:r>
              <w:rPr>
                <w:rFonts w:hint="eastAsia"/>
              </w:rPr>
              <w:t>级</w:t>
            </w:r>
          </w:p>
        </w:tc>
        <w:tc>
          <w:tcPr>
            <w:tcW w:w="408" w:type="pct"/>
            <w:tcBorders>
              <w:top w:val="nil"/>
              <w:left w:val="nil"/>
              <w:bottom w:val="single" w:sz="4" w:space="0" w:color="auto"/>
              <w:right w:val="single" w:sz="4" w:space="0" w:color="auto"/>
            </w:tcBorders>
            <w:vAlign w:val="center"/>
            <w:hideMark/>
          </w:tcPr>
          <w:p w:rsidR="009D46D2" w:rsidRPr="000B6672" w:rsidRDefault="00D5531D" w:rsidP="00CD47D1">
            <w:pPr>
              <w:jc w:val="center"/>
            </w:pPr>
            <w:r>
              <w:rPr>
                <w:rFonts w:hint="eastAsia"/>
              </w:rPr>
              <w:t>10</w:t>
            </w:r>
          </w:p>
        </w:tc>
        <w:tc>
          <w:tcPr>
            <w:tcW w:w="3515" w:type="pct"/>
            <w:vMerge w:val="restart"/>
            <w:tcBorders>
              <w:top w:val="nil"/>
              <w:left w:val="nil"/>
              <w:right w:val="single" w:sz="4" w:space="0" w:color="auto"/>
            </w:tcBorders>
            <w:vAlign w:val="center"/>
            <w:hideMark/>
          </w:tcPr>
          <w:p w:rsidR="009D46D2" w:rsidRPr="009D46D2" w:rsidRDefault="009D46D2" w:rsidP="009D46D2">
            <w:pPr>
              <w:widowControl/>
              <w:snapToGrid w:val="0"/>
              <w:jc w:val="left"/>
              <w:rPr>
                <w:rFonts w:ascii="楷体_gb2312" w:eastAsia="楷体_gb2312" w:hAnsi="宋体" w:cs="宋体"/>
                <w:kern w:val="0"/>
                <w:sz w:val="24"/>
                <w:szCs w:val="24"/>
              </w:rPr>
            </w:pPr>
            <w:r w:rsidRPr="003333C8">
              <w:rPr>
                <w:rFonts w:ascii="楷体_gb2312" w:eastAsia="楷体_gb2312" w:hAnsi="宋体" w:cs="宋体" w:hint="eastAsia"/>
                <w:kern w:val="0"/>
                <w:sz w:val="24"/>
                <w:szCs w:val="24"/>
              </w:rPr>
              <w:t> </w:t>
            </w:r>
            <w:r w:rsidRPr="009D46D2">
              <w:rPr>
                <w:rFonts w:ascii="楷体_gb2312" w:eastAsia="楷体_gb2312" w:hAnsi="宋体" w:cs="宋体" w:hint="eastAsia"/>
                <w:kern w:val="0"/>
                <w:sz w:val="24"/>
                <w:szCs w:val="24"/>
              </w:rPr>
              <w:t>除</w:t>
            </w:r>
            <w:r w:rsidR="00BB451B">
              <w:rPr>
                <w:rFonts w:ascii="楷体_gb2312" w:eastAsia="楷体_gb2312" w:hAnsi="宋体" w:cs="宋体" w:hint="eastAsia"/>
                <w:kern w:val="0"/>
                <w:sz w:val="24"/>
                <w:szCs w:val="24"/>
              </w:rPr>
              <w:t>符合</w:t>
            </w:r>
            <w:r w:rsidR="00BB451B" w:rsidRPr="00BB451B">
              <w:rPr>
                <w:rFonts w:ascii="楷体_gb2312" w:eastAsia="楷体_gb2312" w:hAnsi="宋体" w:cs="宋体" w:hint="eastAsia"/>
                <w:kern w:val="0"/>
                <w:sz w:val="24"/>
                <w:szCs w:val="24"/>
              </w:rPr>
              <w:t>《北京石油化工学院本科学生学习管理规定（2017年修订）》和《北京石油化工学院本科生校内转专业管理办法》（2018年修订稿）</w:t>
            </w:r>
            <w:r w:rsidR="00BB451B">
              <w:rPr>
                <w:rFonts w:ascii="楷体_gb2312" w:eastAsia="楷体_gb2312" w:hAnsi="宋体" w:cs="宋体" w:hint="eastAsia"/>
                <w:kern w:val="0"/>
                <w:sz w:val="24"/>
                <w:szCs w:val="24"/>
              </w:rPr>
              <w:t>以外，</w:t>
            </w:r>
            <w:r w:rsidRPr="009D46D2">
              <w:rPr>
                <w:rFonts w:ascii="楷体_gb2312" w:eastAsia="楷体_gb2312" w:hAnsi="宋体" w:cs="宋体" w:hint="eastAsia"/>
                <w:kern w:val="0"/>
                <w:sz w:val="24"/>
                <w:szCs w:val="24"/>
              </w:rPr>
              <w:t>还需符合以下条件：</w:t>
            </w:r>
          </w:p>
          <w:p w:rsidR="009D46D2" w:rsidRPr="00C17ED7" w:rsidRDefault="009D46D2" w:rsidP="00C17ED7">
            <w:pPr>
              <w:pStyle w:val="a5"/>
              <w:widowControl/>
              <w:numPr>
                <w:ilvl w:val="0"/>
                <w:numId w:val="1"/>
              </w:numPr>
              <w:snapToGrid w:val="0"/>
              <w:ind w:firstLineChars="0"/>
              <w:jc w:val="left"/>
              <w:rPr>
                <w:rFonts w:ascii="楷体_gb2312" w:eastAsia="楷体_gb2312" w:hAnsi="宋体" w:cs="宋体"/>
                <w:kern w:val="0"/>
                <w:sz w:val="24"/>
                <w:szCs w:val="24"/>
              </w:rPr>
            </w:pPr>
            <w:r w:rsidRPr="00C17ED7">
              <w:rPr>
                <w:rFonts w:ascii="楷体_gb2312" w:eastAsia="楷体_gb2312" w:hAnsi="宋体" w:cs="宋体" w:hint="eastAsia"/>
                <w:kern w:val="0"/>
                <w:sz w:val="24"/>
                <w:szCs w:val="24"/>
              </w:rPr>
              <w:t>原则上只招收201</w:t>
            </w:r>
            <w:r w:rsidR="00D448A1" w:rsidRPr="00C17ED7">
              <w:rPr>
                <w:rFonts w:ascii="楷体_gb2312" w:eastAsia="楷体_gb2312" w:hAnsi="宋体" w:cs="宋体" w:hint="eastAsia"/>
                <w:kern w:val="0"/>
                <w:sz w:val="24"/>
                <w:szCs w:val="24"/>
              </w:rPr>
              <w:t>8</w:t>
            </w:r>
            <w:r w:rsidRPr="00C17ED7">
              <w:rPr>
                <w:rFonts w:ascii="楷体_gb2312" w:eastAsia="楷体_gb2312" w:hAnsi="宋体" w:cs="宋体" w:hint="eastAsia"/>
                <w:kern w:val="0"/>
                <w:sz w:val="24"/>
                <w:szCs w:val="24"/>
              </w:rPr>
              <w:t>级各专业学生。</w:t>
            </w:r>
          </w:p>
          <w:p w:rsidR="009D46D2" w:rsidRPr="009D46D2" w:rsidRDefault="009D46D2" w:rsidP="009D46D2">
            <w:pPr>
              <w:widowControl/>
              <w:snapToGrid w:val="0"/>
              <w:jc w:val="left"/>
              <w:rPr>
                <w:rFonts w:ascii="楷体_gb2312" w:eastAsia="楷体_gb2312" w:hAnsi="宋体" w:cs="宋体"/>
                <w:kern w:val="0"/>
                <w:sz w:val="24"/>
                <w:szCs w:val="24"/>
              </w:rPr>
            </w:pPr>
            <w:r w:rsidRPr="009D46D2">
              <w:rPr>
                <w:rFonts w:ascii="楷体_gb2312" w:eastAsia="楷体_gb2312" w:hAnsi="宋体" w:cs="宋体" w:hint="eastAsia"/>
                <w:kern w:val="0"/>
                <w:sz w:val="24"/>
                <w:szCs w:val="24"/>
              </w:rPr>
              <w:t>2、</w:t>
            </w:r>
            <w:r w:rsidRPr="009D46D2">
              <w:rPr>
                <w:rFonts w:ascii="楷体_gb2312" w:eastAsia="楷体_gb2312" w:hAnsi="宋体" w:cs="宋体" w:hint="eastAsia"/>
                <w:kern w:val="0"/>
                <w:sz w:val="24"/>
                <w:szCs w:val="24"/>
              </w:rPr>
              <w:tab/>
              <w:t>如修完《大学化学》，</w:t>
            </w:r>
            <w:r w:rsidR="0006160B" w:rsidRPr="0006160B">
              <w:rPr>
                <w:rFonts w:ascii="楷体_gb2312" w:eastAsia="楷体_gb2312" w:hAnsi="宋体" w:cs="宋体" w:hint="eastAsia"/>
                <w:kern w:val="0"/>
                <w:sz w:val="24"/>
                <w:szCs w:val="24"/>
              </w:rPr>
              <w:t>原则上要求</w:t>
            </w:r>
            <w:proofErr w:type="gramStart"/>
            <w:r w:rsidR="0006160B" w:rsidRPr="0006160B">
              <w:rPr>
                <w:rFonts w:ascii="楷体_gb2312" w:eastAsia="楷体_gb2312" w:hAnsi="宋体" w:cs="宋体" w:hint="eastAsia"/>
                <w:kern w:val="0"/>
                <w:sz w:val="24"/>
                <w:szCs w:val="24"/>
              </w:rPr>
              <w:t>绩</w:t>
            </w:r>
            <w:proofErr w:type="gramEnd"/>
            <w:r w:rsidR="0006160B" w:rsidRPr="0006160B">
              <w:rPr>
                <w:rFonts w:ascii="楷体_gb2312" w:eastAsia="楷体_gb2312" w:hAnsi="宋体" w:cs="宋体" w:hint="eastAsia"/>
                <w:kern w:val="0"/>
                <w:sz w:val="24"/>
                <w:szCs w:val="24"/>
              </w:rPr>
              <w:t>点在2.0分以上（含2.0）</w:t>
            </w:r>
            <w:r w:rsidRPr="009D46D2">
              <w:rPr>
                <w:rFonts w:ascii="楷体_gb2312" w:eastAsia="楷体_gb2312" w:hAnsi="宋体" w:cs="宋体" w:hint="eastAsia"/>
                <w:kern w:val="0"/>
                <w:sz w:val="24"/>
                <w:szCs w:val="24"/>
              </w:rPr>
              <w:t>。</w:t>
            </w:r>
          </w:p>
          <w:p w:rsidR="009D46D2" w:rsidRPr="003333C8" w:rsidRDefault="009D46D2" w:rsidP="009D46D2">
            <w:pPr>
              <w:widowControl/>
              <w:snapToGrid w:val="0"/>
              <w:jc w:val="left"/>
              <w:rPr>
                <w:rFonts w:ascii="宋体" w:eastAsia="宋体" w:hAnsi="宋体" w:cs="宋体"/>
                <w:kern w:val="0"/>
                <w:sz w:val="24"/>
                <w:szCs w:val="24"/>
              </w:rPr>
            </w:pPr>
            <w:r w:rsidRPr="009D46D2">
              <w:rPr>
                <w:rFonts w:ascii="楷体_gb2312" w:eastAsia="楷体_gb2312" w:hAnsi="宋体" w:cs="宋体" w:hint="eastAsia"/>
                <w:kern w:val="0"/>
                <w:sz w:val="24"/>
                <w:szCs w:val="24"/>
              </w:rPr>
              <w:t>3、</w:t>
            </w:r>
            <w:r w:rsidRPr="009D46D2">
              <w:rPr>
                <w:rFonts w:ascii="楷体_gb2312" w:eastAsia="楷体_gb2312" w:hAnsi="宋体" w:cs="宋体" w:hint="eastAsia"/>
                <w:kern w:val="0"/>
                <w:sz w:val="24"/>
                <w:szCs w:val="24"/>
              </w:rPr>
              <w:tab/>
              <w:t>如果学生修读《高等数学》，原则上要求</w:t>
            </w:r>
            <w:proofErr w:type="gramStart"/>
            <w:r w:rsidR="00C55698">
              <w:rPr>
                <w:rFonts w:ascii="楷体_gb2312" w:eastAsia="楷体_gb2312" w:hAnsi="宋体" w:cs="宋体" w:hint="eastAsia"/>
                <w:kern w:val="0"/>
                <w:sz w:val="24"/>
                <w:szCs w:val="24"/>
              </w:rPr>
              <w:t>绩</w:t>
            </w:r>
            <w:proofErr w:type="gramEnd"/>
            <w:r w:rsidR="00C55698">
              <w:rPr>
                <w:rFonts w:ascii="楷体_gb2312" w:eastAsia="楷体_gb2312" w:hAnsi="宋体" w:cs="宋体" w:hint="eastAsia"/>
                <w:kern w:val="0"/>
                <w:sz w:val="24"/>
                <w:szCs w:val="24"/>
              </w:rPr>
              <w:t>点</w:t>
            </w:r>
            <w:r w:rsidRPr="009D46D2">
              <w:rPr>
                <w:rFonts w:ascii="楷体_gb2312" w:eastAsia="楷体_gb2312" w:hAnsi="宋体" w:cs="宋体" w:hint="eastAsia"/>
                <w:kern w:val="0"/>
                <w:sz w:val="24"/>
                <w:szCs w:val="24"/>
              </w:rPr>
              <w:t>在</w:t>
            </w:r>
            <w:r w:rsidR="00C55698">
              <w:rPr>
                <w:rFonts w:ascii="楷体_gb2312" w:eastAsia="楷体_gb2312" w:hAnsi="宋体" w:cs="宋体" w:hint="eastAsia"/>
                <w:kern w:val="0"/>
                <w:sz w:val="24"/>
                <w:szCs w:val="24"/>
              </w:rPr>
              <w:t>2.0</w:t>
            </w:r>
            <w:r w:rsidRPr="009D46D2">
              <w:rPr>
                <w:rFonts w:ascii="楷体_gb2312" w:eastAsia="楷体_gb2312" w:hAnsi="宋体" w:cs="宋体" w:hint="eastAsia"/>
                <w:kern w:val="0"/>
                <w:sz w:val="24"/>
                <w:szCs w:val="24"/>
              </w:rPr>
              <w:t>分以上（含</w:t>
            </w:r>
            <w:r w:rsidR="00C55698">
              <w:rPr>
                <w:rFonts w:ascii="楷体_gb2312" w:eastAsia="楷体_gb2312" w:hAnsi="宋体" w:cs="宋体" w:hint="eastAsia"/>
                <w:kern w:val="0"/>
                <w:sz w:val="24"/>
                <w:szCs w:val="24"/>
              </w:rPr>
              <w:t>2.0</w:t>
            </w:r>
            <w:r w:rsidRPr="009D46D2">
              <w:rPr>
                <w:rFonts w:ascii="楷体_gb2312" w:eastAsia="楷体_gb2312" w:hAnsi="宋体" w:cs="宋体" w:hint="eastAsia"/>
                <w:kern w:val="0"/>
                <w:sz w:val="24"/>
                <w:szCs w:val="24"/>
              </w:rPr>
              <w:t>）。</w:t>
            </w:r>
          </w:p>
          <w:p w:rsidR="009D46D2" w:rsidRPr="003333C8" w:rsidRDefault="009D46D2" w:rsidP="0006160B">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p>
        </w:tc>
      </w:tr>
      <w:tr w:rsidR="009D46D2" w:rsidRPr="003333C8" w:rsidTr="00CD47D1">
        <w:trPr>
          <w:trHeight w:val="681"/>
          <w:jc w:val="center"/>
        </w:trPr>
        <w:tc>
          <w:tcPr>
            <w:tcW w:w="578" w:type="pct"/>
            <w:tcBorders>
              <w:top w:val="nil"/>
              <w:left w:val="single" w:sz="4" w:space="0" w:color="auto"/>
              <w:bottom w:val="single" w:sz="4" w:space="0" w:color="auto"/>
              <w:right w:val="single" w:sz="4" w:space="0" w:color="auto"/>
            </w:tcBorders>
            <w:vAlign w:val="center"/>
            <w:hideMark/>
          </w:tcPr>
          <w:p w:rsidR="009D46D2" w:rsidRPr="000B6672" w:rsidRDefault="009D46D2" w:rsidP="00CD47D1">
            <w:pPr>
              <w:jc w:val="center"/>
            </w:pPr>
            <w:r w:rsidRPr="000B6672">
              <w:rPr>
                <w:rFonts w:hint="eastAsia"/>
              </w:rPr>
              <w:t>应用化学</w:t>
            </w:r>
          </w:p>
        </w:tc>
        <w:tc>
          <w:tcPr>
            <w:tcW w:w="499" w:type="pct"/>
            <w:tcBorders>
              <w:top w:val="nil"/>
              <w:left w:val="nil"/>
              <w:bottom w:val="single" w:sz="4" w:space="0" w:color="auto"/>
              <w:right w:val="single" w:sz="4" w:space="0" w:color="auto"/>
            </w:tcBorders>
            <w:vAlign w:val="center"/>
            <w:hideMark/>
          </w:tcPr>
          <w:p w:rsidR="009D46D2" w:rsidRPr="000B6672" w:rsidRDefault="009D46D2" w:rsidP="00D448A1">
            <w:pPr>
              <w:jc w:val="center"/>
            </w:pPr>
            <w:r w:rsidRPr="000B6672">
              <w:rPr>
                <w:rFonts w:hint="eastAsia"/>
              </w:rPr>
              <w:t>201</w:t>
            </w:r>
            <w:r w:rsidR="00D448A1">
              <w:rPr>
                <w:rFonts w:hint="eastAsia"/>
              </w:rPr>
              <w:t>8</w:t>
            </w:r>
            <w:r w:rsidRPr="000B6672">
              <w:rPr>
                <w:rFonts w:hint="eastAsia"/>
              </w:rPr>
              <w:t>级</w:t>
            </w:r>
          </w:p>
        </w:tc>
        <w:tc>
          <w:tcPr>
            <w:tcW w:w="408" w:type="pct"/>
            <w:tcBorders>
              <w:top w:val="nil"/>
              <w:left w:val="nil"/>
              <w:bottom w:val="single" w:sz="4" w:space="0" w:color="auto"/>
              <w:right w:val="single" w:sz="4" w:space="0" w:color="auto"/>
            </w:tcBorders>
            <w:vAlign w:val="center"/>
            <w:hideMark/>
          </w:tcPr>
          <w:p w:rsidR="009D46D2" w:rsidRPr="000B6672" w:rsidRDefault="009D46D2" w:rsidP="00CD47D1">
            <w:pPr>
              <w:jc w:val="center"/>
            </w:pPr>
            <w:r w:rsidRPr="000B6672">
              <w:rPr>
                <w:rFonts w:hint="eastAsia"/>
              </w:rPr>
              <w:t>6</w:t>
            </w:r>
          </w:p>
        </w:tc>
        <w:tc>
          <w:tcPr>
            <w:tcW w:w="3515" w:type="pct"/>
            <w:vMerge/>
            <w:tcBorders>
              <w:left w:val="nil"/>
              <w:right w:val="single" w:sz="4" w:space="0" w:color="auto"/>
            </w:tcBorders>
            <w:vAlign w:val="center"/>
            <w:hideMark/>
          </w:tcPr>
          <w:p w:rsidR="009D46D2" w:rsidRPr="003333C8" w:rsidRDefault="009D46D2" w:rsidP="003333C8">
            <w:pPr>
              <w:snapToGrid w:val="0"/>
              <w:jc w:val="left"/>
              <w:rPr>
                <w:rFonts w:ascii="宋体" w:eastAsia="宋体" w:hAnsi="宋体" w:cs="宋体"/>
                <w:kern w:val="0"/>
                <w:sz w:val="24"/>
                <w:szCs w:val="24"/>
              </w:rPr>
            </w:pPr>
          </w:p>
        </w:tc>
      </w:tr>
      <w:tr w:rsidR="009D46D2" w:rsidRPr="003333C8" w:rsidTr="008922DF">
        <w:trPr>
          <w:trHeight w:val="696"/>
          <w:jc w:val="center"/>
        </w:trPr>
        <w:tc>
          <w:tcPr>
            <w:tcW w:w="578" w:type="pct"/>
            <w:tcBorders>
              <w:top w:val="nil"/>
              <w:left w:val="single" w:sz="4" w:space="0" w:color="auto"/>
              <w:bottom w:val="single" w:sz="4" w:space="0" w:color="auto"/>
              <w:right w:val="single" w:sz="4" w:space="0" w:color="auto"/>
            </w:tcBorders>
            <w:vAlign w:val="center"/>
            <w:hideMark/>
          </w:tcPr>
          <w:p w:rsidR="009D46D2" w:rsidRPr="000B6672" w:rsidRDefault="009D46D2" w:rsidP="00CD47D1">
            <w:pPr>
              <w:jc w:val="center"/>
            </w:pPr>
            <w:r w:rsidRPr="000B6672">
              <w:rPr>
                <w:rFonts w:hint="eastAsia"/>
              </w:rPr>
              <w:t>制药工程</w:t>
            </w:r>
          </w:p>
        </w:tc>
        <w:tc>
          <w:tcPr>
            <w:tcW w:w="499" w:type="pct"/>
            <w:tcBorders>
              <w:top w:val="nil"/>
              <w:left w:val="nil"/>
              <w:bottom w:val="single" w:sz="4" w:space="0" w:color="auto"/>
              <w:right w:val="single" w:sz="4" w:space="0" w:color="auto"/>
            </w:tcBorders>
            <w:vAlign w:val="center"/>
            <w:hideMark/>
          </w:tcPr>
          <w:p w:rsidR="009D46D2" w:rsidRPr="000B6672" w:rsidRDefault="009D46D2" w:rsidP="00D448A1">
            <w:pPr>
              <w:jc w:val="center"/>
            </w:pPr>
            <w:r w:rsidRPr="000B6672">
              <w:rPr>
                <w:rFonts w:hint="eastAsia"/>
              </w:rPr>
              <w:t>201</w:t>
            </w:r>
            <w:r w:rsidR="00D448A1">
              <w:rPr>
                <w:rFonts w:hint="eastAsia"/>
              </w:rPr>
              <w:t>8</w:t>
            </w:r>
            <w:r w:rsidRPr="000B6672">
              <w:rPr>
                <w:rFonts w:hint="eastAsia"/>
              </w:rPr>
              <w:t>级</w:t>
            </w:r>
          </w:p>
        </w:tc>
        <w:tc>
          <w:tcPr>
            <w:tcW w:w="408" w:type="pct"/>
            <w:tcBorders>
              <w:top w:val="nil"/>
              <w:left w:val="nil"/>
              <w:bottom w:val="single" w:sz="4" w:space="0" w:color="auto"/>
              <w:right w:val="single" w:sz="4" w:space="0" w:color="auto"/>
            </w:tcBorders>
            <w:vAlign w:val="center"/>
            <w:hideMark/>
          </w:tcPr>
          <w:p w:rsidR="009D46D2" w:rsidRDefault="00D5531D" w:rsidP="00CD47D1">
            <w:pPr>
              <w:jc w:val="center"/>
            </w:pPr>
            <w:r>
              <w:rPr>
                <w:rFonts w:hint="eastAsia"/>
              </w:rPr>
              <w:t>6</w:t>
            </w:r>
          </w:p>
        </w:tc>
        <w:tc>
          <w:tcPr>
            <w:tcW w:w="3515" w:type="pct"/>
            <w:vMerge/>
            <w:tcBorders>
              <w:left w:val="nil"/>
              <w:bottom w:val="single" w:sz="4" w:space="0" w:color="auto"/>
              <w:right w:val="single" w:sz="4" w:space="0" w:color="auto"/>
            </w:tcBorders>
            <w:vAlign w:val="center"/>
            <w:hideMark/>
          </w:tcPr>
          <w:p w:rsidR="009D46D2" w:rsidRPr="003333C8" w:rsidRDefault="009D46D2" w:rsidP="003333C8">
            <w:pPr>
              <w:widowControl/>
              <w:snapToGrid w:val="0"/>
              <w:jc w:val="left"/>
              <w:rPr>
                <w:rFonts w:ascii="宋体" w:eastAsia="宋体" w:hAnsi="宋体" w:cs="宋体"/>
                <w:kern w:val="0"/>
                <w:sz w:val="24"/>
                <w:szCs w:val="24"/>
              </w:rPr>
            </w:pPr>
          </w:p>
        </w:tc>
      </w:tr>
      <w:tr w:rsidR="003333C8" w:rsidRPr="003333C8" w:rsidTr="006B0A65">
        <w:trPr>
          <w:trHeight w:val="462"/>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需要学生提供的材料</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成绩单</w:t>
            </w:r>
          </w:p>
        </w:tc>
      </w:tr>
      <w:tr w:rsidR="003333C8" w:rsidRPr="003333C8" w:rsidTr="006B0A65">
        <w:trPr>
          <w:trHeight w:val="398"/>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考核科目</w:t>
            </w:r>
          </w:p>
        </w:tc>
        <w:tc>
          <w:tcPr>
            <w:tcW w:w="3515" w:type="pct"/>
            <w:tcBorders>
              <w:top w:val="nil"/>
              <w:left w:val="nil"/>
              <w:bottom w:val="single" w:sz="4" w:space="0" w:color="auto"/>
              <w:right w:val="single" w:sz="4" w:space="0" w:color="auto"/>
            </w:tcBorders>
            <w:vAlign w:val="center"/>
            <w:hideMark/>
          </w:tcPr>
          <w:p w:rsidR="003333C8" w:rsidRPr="003333C8" w:rsidRDefault="003333C8" w:rsidP="003333C8">
            <w:pPr>
              <w:widowControl/>
              <w:snapToGrid w:val="0"/>
              <w:jc w:val="left"/>
              <w:rPr>
                <w:rFonts w:ascii="宋体" w:eastAsia="宋体" w:hAnsi="宋体" w:cs="宋体"/>
                <w:kern w:val="0"/>
                <w:sz w:val="24"/>
                <w:szCs w:val="24"/>
              </w:rPr>
            </w:pPr>
            <w:r w:rsidRPr="003333C8">
              <w:rPr>
                <w:rFonts w:ascii="楷体_gb2312" w:eastAsia="楷体_gb2312" w:hAnsi="宋体" w:cs="宋体" w:hint="eastAsia"/>
                <w:kern w:val="0"/>
                <w:sz w:val="24"/>
                <w:szCs w:val="24"/>
              </w:rPr>
              <w:t> </w:t>
            </w:r>
            <w:r w:rsidR="009D46D2">
              <w:rPr>
                <w:rFonts w:ascii="楷体_gb2312" w:eastAsia="楷体_gb2312" w:hAnsi="宋体" w:cs="宋体" w:hint="eastAsia"/>
                <w:kern w:val="0"/>
                <w:sz w:val="24"/>
                <w:szCs w:val="24"/>
              </w:rPr>
              <w:t>综合面试</w:t>
            </w:r>
          </w:p>
        </w:tc>
      </w:tr>
      <w:tr w:rsidR="006B0A65" w:rsidRPr="003333C8" w:rsidTr="00A4463F">
        <w:trPr>
          <w:trHeight w:val="489"/>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考核时间</w:t>
            </w:r>
          </w:p>
        </w:tc>
        <w:tc>
          <w:tcPr>
            <w:tcW w:w="3515" w:type="pct"/>
            <w:tcBorders>
              <w:top w:val="nil"/>
              <w:left w:val="nil"/>
              <w:bottom w:val="single" w:sz="4" w:space="0" w:color="auto"/>
              <w:right w:val="single" w:sz="4" w:space="0" w:color="auto"/>
            </w:tcBorders>
            <w:hideMark/>
          </w:tcPr>
          <w:p w:rsidR="006B0A65" w:rsidRPr="009B4960" w:rsidRDefault="00D448A1" w:rsidP="00EC6E77">
            <w:r w:rsidRPr="00D448A1">
              <w:rPr>
                <w:rFonts w:hint="eastAsia"/>
              </w:rPr>
              <w:t>第十一周～第十二周（</w:t>
            </w:r>
            <w:r w:rsidRPr="00D448A1">
              <w:rPr>
                <w:rFonts w:hint="eastAsia"/>
              </w:rPr>
              <w:t>5</w:t>
            </w:r>
            <w:r w:rsidRPr="00D448A1">
              <w:rPr>
                <w:rFonts w:hint="eastAsia"/>
              </w:rPr>
              <w:t>月</w:t>
            </w:r>
            <w:r w:rsidRPr="00D448A1">
              <w:rPr>
                <w:rFonts w:hint="eastAsia"/>
              </w:rPr>
              <w:t>6</w:t>
            </w:r>
            <w:r w:rsidRPr="00D448A1">
              <w:rPr>
                <w:rFonts w:hint="eastAsia"/>
              </w:rPr>
              <w:t>日～</w:t>
            </w:r>
            <w:r w:rsidRPr="00D448A1">
              <w:rPr>
                <w:rFonts w:hint="eastAsia"/>
              </w:rPr>
              <w:t>5</w:t>
            </w:r>
            <w:r w:rsidRPr="00D448A1">
              <w:rPr>
                <w:rFonts w:hint="eastAsia"/>
              </w:rPr>
              <w:t>月</w:t>
            </w:r>
            <w:r w:rsidRPr="00D448A1">
              <w:rPr>
                <w:rFonts w:hint="eastAsia"/>
              </w:rPr>
              <w:t>17</w:t>
            </w:r>
            <w:r w:rsidRPr="00D448A1">
              <w:rPr>
                <w:rFonts w:hint="eastAsia"/>
              </w:rPr>
              <w:t>日）</w:t>
            </w:r>
            <w:r w:rsidR="00A3246E">
              <w:rPr>
                <w:rFonts w:hint="eastAsia"/>
              </w:rPr>
              <w:t xml:space="preserve">     </w:t>
            </w:r>
            <w:r w:rsidR="00BC0541">
              <w:rPr>
                <w:rFonts w:hint="eastAsia"/>
              </w:rPr>
              <w:t>（</w:t>
            </w:r>
            <w:r w:rsidR="00A3246E">
              <w:rPr>
                <w:rFonts w:hint="eastAsia"/>
              </w:rPr>
              <w:t>具体时间另行通知</w:t>
            </w:r>
            <w:r w:rsidR="00BC0541">
              <w:rPr>
                <w:rFonts w:hint="eastAsia"/>
              </w:rPr>
              <w:t>）</w:t>
            </w:r>
          </w:p>
        </w:tc>
      </w:tr>
      <w:tr w:rsidR="006B0A65" w:rsidRPr="003333C8" w:rsidTr="00A4463F">
        <w:trPr>
          <w:trHeight w:val="425"/>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6B0A65" w:rsidRPr="003333C8" w:rsidRDefault="006B0A65"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考核地点</w:t>
            </w:r>
          </w:p>
        </w:tc>
        <w:tc>
          <w:tcPr>
            <w:tcW w:w="3515" w:type="pct"/>
            <w:tcBorders>
              <w:top w:val="nil"/>
              <w:left w:val="nil"/>
              <w:bottom w:val="single" w:sz="4" w:space="0" w:color="auto"/>
              <w:right w:val="single" w:sz="4" w:space="0" w:color="auto"/>
            </w:tcBorders>
            <w:hideMark/>
          </w:tcPr>
          <w:p w:rsidR="006B0A65" w:rsidRDefault="006B0A65" w:rsidP="00A06163">
            <w:r w:rsidRPr="009B4960">
              <w:rPr>
                <w:rFonts w:hint="eastAsia"/>
              </w:rPr>
              <w:t>主楼</w:t>
            </w:r>
            <w:r w:rsidRPr="009B4960">
              <w:rPr>
                <w:rFonts w:hint="eastAsia"/>
              </w:rPr>
              <w:t>1101</w:t>
            </w:r>
            <w:r w:rsidRPr="009B4960">
              <w:rPr>
                <w:rFonts w:hint="eastAsia"/>
              </w:rPr>
              <w:t>东</w:t>
            </w:r>
          </w:p>
        </w:tc>
      </w:tr>
      <w:tr w:rsidR="003333C8" w:rsidRPr="003333C8" w:rsidTr="006B0A65">
        <w:trPr>
          <w:trHeight w:val="361"/>
          <w:jc w:val="center"/>
        </w:trPr>
        <w:tc>
          <w:tcPr>
            <w:tcW w:w="1485" w:type="pct"/>
            <w:gridSpan w:val="3"/>
            <w:tcBorders>
              <w:top w:val="single" w:sz="4" w:space="0" w:color="auto"/>
              <w:left w:val="single" w:sz="4" w:space="0" w:color="auto"/>
              <w:bottom w:val="single" w:sz="4" w:space="0" w:color="auto"/>
              <w:right w:val="single" w:sz="4" w:space="0" w:color="auto"/>
            </w:tcBorders>
            <w:vAlign w:val="center"/>
            <w:hideMark/>
          </w:tcPr>
          <w:p w:rsidR="003333C8" w:rsidRPr="003333C8" w:rsidRDefault="003333C8" w:rsidP="003333C8">
            <w:pPr>
              <w:widowControl/>
              <w:snapToGrid w:val="0"/>
              <w:jc w:val="center"/>
              <w:rPr>
                <w:rFonts w:ascii="宋体" w:eastAsia="宋体" w:hAnsi="宋体" w:cs="宋体"/>
                <w:kern w:val="0"/>
                <w:sz w:val="24"/>
                <w:szCs w:val="24"/>
              </w:rPr>
            </w:pPr>
            <w:r w:rsidRPr="003333C8">
              <w:rPr>
                <w:rFonts w:ascii="楷体_gb2312" w:eastAsia="楷体_gb2312" w:hAnsi="宋体" w:cs="宋体" w:hint="eastAsia"/>
                <w:b/>
                <w:bCs/>
                <w:kern w:val="0"/>
                <w:sz w:val="24"/>
                <w:szCs w:val="24"/>
              </w:rPr>
              <w:t>咨询地址</w:t>
            </w:r>
          </w:p>
        </w:tc>
        <w:tc>
          <w:tcPr>
            <w:tcW w:w="3515" w:type="pct"/>
            <w:tcBorders>
              <w:top w:val="nil"/>
              <w:left w:val="nil"/>
              <w:bottom w:val="single" w:sz="4" w:space="0" w:color="auto"/>
              <w:right w:val="single" w:sz="4" w:space="0" w:color="auto"/>
            </w:tcBorders>
            <w:vAlign w:val="center"/>
            <w:hideMark/>
          </w:tcPr>
          <w:p w:rsidR="003333C8" w:rsidRPr="003333C8" w:rsidRDefault="009D46D2" w:rsidP="00EC6E77">
            <w:pPr>
              <w:widowControl/>
              <w:snapToGrid w:val="0"/>
              <w:jc w:val="left"/>
              <w:rPr>
                <w:rFonts w:ascii="宋体" w:eastAsia="宋体" w:hAnsi="宋体" w:cs="宋体"/>
                <w:kern w:val="0"/>
                <w:sz w:val="24"/>
                <w:szCs w:val="24"/>
              </w:rPr>
            </w:pPr>
            <w:r>
              <w:rPr>
                <w:rFonts w:ascii="楷体_gb2312" w:eastAsia="楷体_gb2312" w:hAnsi="宋体" w:cs="宋体" w:hint="eastAsia"/>
                <w:kern w:val="0"/>
                <w:sz w:val="24"/>
                <w:szCs w:val="24"/>
              </w:rPr>
              <w:t>化工</w:t>
            </w:r>
            <w:r w:rsidR="003333C8" w:rsidRPr="003333C8">
              <w:rPr>
                <w:rFonts w:ascii="楷体_gb2312" w:eastAsia="楷体_gb2312" w:hAnsi="宋体" w:cs="宋体" w:hint="eastAsia"/>
                <w:kern w:val="0"/>
                <w:sz w:val="24"/>
                <w:szCs w:val="24"/>
              </w:rPr>
              <w:t xml:space="preserve">学院教学办公室   联系人：  </w:t>
            </w:r>
            <w:r>
              <w:rPr>
                <w:rFonts w:ascii="楷体_gb2312" w:eastAsia="楷体_gb2312" w:hAnsi="宋体" w:cs="宋体" w:hint="eastAsia"/>
                <w:kern w:val="0"/>
                <w:sz w:val="24"/>
                <w:szCs w:val="24"/>
              </w:rPr>
              <w:t>赵磊</w:t>
            </w:r>
            <w:r w:rsidR="003333C8" w:rsidRPr="003333C8">
              <w:rPr>
                <w:rFonts w:ascii="楷体_gb2312" w:eastAsia="楷体_gb2312" w:hAnsi="宋体" w:cs="宋体" w:hint="eastAsia"/>
                <w:kern w:val="0"/>
                <w:sz w:val="24"/>
                <w:szCs w:val="24"/>
              </w:rPr>
              <w:t xml:space="preserve">             联系电话：</w:t>
            </w:r>
            <w:r w:rsidR="0050367D">
              <w:rPr>
                <w:rFonts w:ascii="楷体_gb2312" w:eastAsia="楷体_gb2312" w:hAnsi="宋体" w:cs="宋体" w:hint="eastAsia"/>
                <w:kern w:val="0"/>
                <w:sz w:val="24"/>
                <w:szCs w:val="24"/>
              </w:rPr>
              <w:t>8129212</w:t>
            </w:r>
            <w:r w:rsidR="00EC6E77">
              <w:rPr>
                <w:rFonts w:ascii="楷体_gb2312" w:eastAsia="楷体_gb2312" w:hAnsi="宋体" w:cs="宋体" w:hint="eastAsia"/>
                <w:kern w:val="0"/>
                <w:sz w:val="24"/>
                <w:szCs w:val="24"/>
              </w:rPr>
              <w:t>6</w:t>
            </w:r>
          </w:p>
        </w:tc>
      </w:tr>
    </w:tbl>
    <w:p w:rsidR="00D4695A" w:rsidRDefault="00D4695A" w:rsidP="003333C8">
      <w:pPr>
        <w:widowControl/>
        <w:shd w:val="clear" w:color="auto" w:fill="FFFFFF"/>
        <w:snapToGrid w:val="0"/>
        <w:ind w:firstLineChars="800" w:firstLine="2249"/>
        <w:jc w:val="left"/>
        <w:textAlignment w:val="center"/>
        <w:rPr>
          <w:rFonts w:ascii="Times New Roman" w:eastAsia="宋体" w:hAnsi="Times New Roman" w:cs="宋体"/>
          <w:b/>
          <w:color w:val="333333"/>
          <w:kern w:val="0"/>
          <w:sz w:val="28"/>
          <w:szCs w:val="28"/>
        </w:rPr>
      </w:pPr>
    </w:p>
    <w:p w:rsidR="003333C8" w:rsidRPr="003333C8" w:rsidRDefault="003333C8" w:rsidP="003333C8">
      <w:pPr>
        <w:widowControl/>
        <w:shd w:val="clear" w:color="auto" w:fill="FFFFFF"/>
        <w:snapToGrid w:val="0"/>
        <w:ind w:firstLineChars="800" w:firstLine="2249"/>
        <w:jc w:val="left"/>
        <w:textAlignment w:val="center"/>
        <w:rPr>
          <w:rFonts w:ascii="宋体" w:eastAsia="宋体" w:hAnsi="宋体" w:cs="宋体"/>
          <w:color w:val="333333"/>
          <w:kern w:val="0"/>
          <w:sz w:val="24"/>
          <w:szCs w:val="24"/>
        </w:rPr>
      </w:pPr>
      <w:r w:rsidRPr="003333C8">
        <w:rPr>
          <w:rFonts w:ascii="Times New Roman" w:eastAsia="宋体" w:hAnsi="Times New Roman" w:cs="宋体" w:hint="eastAsia"/>
          <w:b/>
          <w:color w:val="333333"/>
          <w:kern w:val="0"/>
          <w:sz w:val="28"/>
          <w:szCs w:val="28"/>
        </w:rPr>
        <w:t>主管领导签字（盖章）：</w:t>
      </w:r>
      <w:r w:rsidRPr="003333C8">
        <w:rPr>
          <w:rFonts w:ascii="宋体" w:eastAsia="宋体" w:hAnsi="宋体" w:cs="宋体"/>
          <w:b/>
          <w:color w:val="333333"/>
          <w:kern w:val="0"/>
          <w:sz w:val="28"/>
          <w:szCs w:val="28"/>
        </w:rPr>
        <w:t xml:space="preserve">                  </w:t>
      </w:r>
      <w:r w:rsidR="00CB416B">
        <w:rPr>
          <w:rFonts w:ascii="宋体" w:eastAsia="宋体" w:hAnsi="宋体" w:cs="宋体" w:hint="eastAsia"/>
          <w:b/>
          <w:color w:val="333333"/>
          <w:kern w:val="0"/>
          <w:sz w:val="28"/>
          <w:szCs w:val="28"/>
        </w:rPr>
        <w:t xml:space="preserve">    </w:t>
      </w:r>
      <w:bookmarkStart w:id="0" w:name="_GoBack"/>
      <w:bookmarkEnd w:id="0"/>
      <w:r w:rsidRPr="003333C8">
        <w:rPr>
          <w:rFonts w:ascii="宋体" w:eastAsia="宋体" w:hAnsi="宋体" w:cs="宋体"/>
          <w:b/>
          <w:color w:val="333333"/>
          <w:kern w:val="0"/>
          <w:sz w:val="28"/>
          <w:szCs w:val="28"/>
        </w:rPr>
        <w:t xml:space="preserve"> </w:t>
      </w:r>
      <w:r w:rsidRPr="003333C8">
        <w:rPr>
          <w:rFonts w:ascii="Times New Roman" w:eastAsia="宋体" w:hAnsi="Times New Roman" w:cs="宋体" w:hint="eastAsia"/>
          <w:b/>
          <w:color w:val="333333"/>
          <w:kern w:val="0"/>
          <w:sz w:val="28"/>
          <w:szCs w:val="28"/>
        </w:rPr>
        <w:t>时间：</w:t>
      </w:r>
      <w:r w:rsidRPr="003333C8">
        <w:rPr>
          <w:rFonts w:ascii="宋体" w:eastAsia="宋体" w:hAnsi="宋体" w:cs="宋体"/>
          <w:b/>
          <w:color w:val="333333"/>
          <w:kern w:val="0"/>
          <w:sz w:val="28"/>
          <w:szCs w:val="28"/>
        </w:rPr>
        <w:t xml:space="preserve"> </w:t>
      </w:r>
      <w:r w:rsidR="00547D3E">
        <w:rPr>
          <w:rFonts w:ascii="宋体" w:eastAsia="宋体" w:hAnsi="宋体" w:cs="宋体" w:hint="eastAsia"/>
          <w:b/>
          <w:color w:val="333333"/>
          <w:kern w:val="0"/>
          <w:sz w:val="28"/>
          <w:szCs w:val="28"/>
        </w:rPr>
        <w:t>201</w:t>
      </w:r>
      <w:r w:rsidR="00D448A1">
        <w:rPr>
          <w:rFonts w:ascii="宋体" w:eastAsia="宋体" w:hAnsi="宋体" w:cs="宋体" w:hint="eastAsia"/>
          <w:b/>
          <w:color w:val="333333"/>
          <w:kern w:val="0"/>
          <w:sz w:val="28"/>
          <w:szCs w:val="28"/>
        </w:rPr>
        <w:t>9.</w:t>
      </w:r>
      <w:r w:rsidR="00BB451B">
        <w:rPr>
          <w:rFonts w:ascii="宋体" w:eastAsia="宋体" w:hAnsi="宋体" w:cs="宋体" w:hint="eastAsia"/>
          <w:b/>
          <w:color w:val="333333"/>
          <w:kern w:val="0"/>
          <w:sz w:val="28"/>
          <w:szCs w:val="28"/>
        </w:rPr>
        <w:t>4</w:t>
      </w:r>
      <w:r w:rsidR="00547D3E">
        <w:rPr>
          <w:rFonts w:ascii="宋体" w:eastAsia="宋体" w:hAnsi="宋体" w:cs="宋体" w:hint="eastAsia"/>
          <w:b/>
          <w:color w:val="333333"/>
          <w:kern w:val="0"/>
          <w:sz w:val="28"/>
          <w:szCs w:val="28"/>
        </w:rPr>
        <w:t>.</w:t>
      </w:r>
      <w:r w:rsidR="00CB416B">
        <w:rPr>
          <w:rFonts w:ascii="宋体" w:eastAsia="宋体" w:hAnsi="宋体" w:cs="宋体" w:hint="eastAsia"/>
          <w:b/>
          <w:color w:val="333333"/>
          <w:kern w:val="0"/>
          <w:sz w:val="28"/>
          <w:szCs w:val="28"/>
        </w:rPr>
        <w:t>1</w:t>
      </w:r>
    </w:p>
    <w:p w:rsidR="00575A14" w:rsidRPr="003333C8" w:rsidRDefault="00A45CFB">
      <w:r>
        <w:rPr>
          <w:rFonts w:hint="eastAsia"/>
        </w:rPr>
        <w:t xml:space="preserve"> </w:t>
      </w:r>
    </w:p>
    <w:sectPr w:rsidR="00575A14" w:rsidRPr="003333C8" w:rsidSect="006B0A65">
      <w:pgSz w:w="16838" w:h="11906" w:orient="landscape"/>
      <w:pgMar w:top="1797" w:right="851" w:bottom="179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B27" w:rsidRDefault="00C44B27" w:rsidP="00ED7B20">
      <w:r>
        <w:separator/>
      </w:r>
    </w:p>
  </w:endnote>
  <w:endnote w:type="continuationSeparator" w:id="0">
    <w:p w:rsidR="00C44B27" w:rsidRDefault="00C44B27" w:rsidP="00ED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B27" w:rsidRDefault="00C44B27" w:rsidP="00ED7B20">
      <w:r>
        <w:separator/>
      </w:r>
    </w:p>
  </w:footnote>
  <w:footnote w:type="continuationSeparator" w:id="0">
    <w:p w:rsidR="00C44B27" w:rsidRDefault="00C44B27" w:rsidP="00ED7B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54A82"/>
    <w:multiLevelType w:val="hybridMultilevel"/>
    <w:tmpl w:val="C43604A8"/>
    <w:lvl w:ilvl="0" w:tplc="0034337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B8B"/>
    <w:rsid w:val="0006160B"/>
    <w:rsid w:val="00210122"/>
    <w:rsid w:val="00241680"/>
    <w:rsid w:val="002D4302"/>
    <w:rsid w:val="003333C8"/>
    <w:rsid w:val="004B446E"/>
    <w:rsid w:val="004D5AFD"/>
    <w:rsid w:val="0050367D"/>
    <w:rsid w:val="00547D3E"/>
    <w:rsid w:val="00575A14"/>
    <w:rsid w:val="00590D93"/>
    <w:rsid w:val="006B0A65"/>
    <w:rsid w:val="008140C2"/>
    <w:rsid w:val="008922DF"/>
    <w:rsid w:val="00910B8B"/>
    <w:rsid w:val="009A12EA"/>
    <w:rsid w:val="009B053B"/>
    <w:rsid w:val="009D46D2"/>
    <w:rsid w:val="00A3246E"/>
    <w:rsid w:val="00A45CFB"/>
    <w:rsid w:val="00B419A8"/>
    <w:rsid w:val="00BB451B"/>
    <w:rsid w:val="00BC0541"/>
    <w:rsid w:val="00C17ED7"/>
    <w:rsid w:val="00C44B27"/>
    <w:rsid w:val="00C55698"/>
    <w:rsid w:val="00CB416B"/>
    <w:rsid w:val="00CD47D1"/>
    <w:rsid w:val="00D448A1"/>
    <w:rsid w:val="00D4695A"/>
    <w:rsid w:val="00D5531D"/>
    <w:rsid w:val="00D70344"/>
    <w:rsid w:val="00DC3F01"/>
    <w:rsid w:val="00EC6E77"/>
    <w:rsid w:val="00ED7B20"/>
    <w:rsid w:val="00F10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7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7B20"/>
    <w:rPr>
      <w:sz w:val="18"/>
      <w:szCs w:val="18"/>
    </w:rPr>
  </w:style>
  <w:style w:type="paragraph" w:styleId="a4">
    <w:name w:val="footer"/>
    <w:basedOn w:val="a"/>
    <w:link w:val="Char0"/>
    <w:uiPriority w:val="99"/>
    <w:unhideWhenUsed/>
    <w:rsid w:val="00ED7B20"/>
    <w:pPr>
      <w:tabs>
        <w:tab w:val="center" w:pos="4153"/>
        <w:tab w:val="right" w:pos="8306"/>
      </w:tabs>
      <w:snapToGrid w:val="0"/>
      <w:jc w:val="left"/>
    </w:pPr>
    <w:rPr>
      <w:sz w:val="18"/>
      <w:szCs w:val="18"/>
    </w:rPr>
  </w:style>
  <w:style w:type="character" w:customStyle="1" w:styleId="Char0">
    <w:name w:val="页脚 Char"/>
    <w:basedOn w:val="a0"/>
    <w:link w:val="a4"/>
    <w:uiPriority w:val="99"/>
    <w:rsid w:val="00ED7B20"/>
    <w:rPr>
      <w:sz w:val="18"/>
      <w:szCs w:val="18"/>
    </w:rPr>
  </w:style>
  <w:style w:type="paragraph" w:styleId="a5">
    <w:name w:val="List Paragraph"/>
    <w:basedOn w:val="a"/>
    <w:uiPriority w:val="34"/>
    <w:qFormat/>
    <w:rsid w:val="00C17ED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7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7B20"/>
    <w:rPr>
      <w:sz w:val="18"/>
      <w:szCs w:val="18"/>
    </w:rPr>
  </w:style>
  <w:style w:type="paragraph" w:styleId="a4">
    <w:name w:val="footer"/>
    <w:basedOn w:val="a"/>
    <w:link w:val="Char0"/>
    <w:uiPriority w:val="99"/>
    <w:unhideWhenUsed/>
    <w:rsid w:val="00ED7B20"/>
    <w:pPr>
      <w:tabs>
        <w:tab w:val="center" w:pos="4153"/>
        <w:tab w:val="right" w:pos="8306"/>
      </w:tabs>
      <w:snapToGrid w:val="0"/>
      <w:jc w:val="left"/>
    </w:pPr>
    <w:rPr>
      <w:sz w:val="18"/>
      <w:szCs w:val="18"/>
    </w:rPr>
  </w:style>
  <w:style w:type="character" w:customStyle="1" w:styleId="Char0">
    <w:name w:val="页脚 Char"/>
    <w:basedOn w:val="a0"/>
    <w:link w:val="a4"/>
    <w:uiPriority w:val="99"/>
    <w:rsid w:val="00ED7B20"/>
    <w:rPr>
      <w:sz w:val="18"/>
      <w:szCs w:val="18"/>
    </w:rPr>
  </w:style>
  <w:style w:type="paragraph" w:styleId="a5">
    <w:name w:val="List Paragraph"/>
    <w:basedOn w:val="a"/>
    <w:uiPriority w:val="34"/>
    <w:qFormat/>
    <w:rsid w:val="00C17E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7620">
      <w:bodyDiv w:val="1"/>
      <w:marLeft w:val="0"/>
      <w:marRight w:val="0"/>
      <w:marTop w:val="0"/>
      <w:marBottom w:val="0"/>
      <w:divBdr>
        <w:top w:val="none" w:sz="0" w:space="0" w:color="auto"/>
        <w:left w:val="none" w:sz="0" w:space="0" w:color="auto"/>
        <w:bottom w:val="none" w:sz="0" w:space="0" w:color="auto"/>
        <w:right w:val="none" w:sz="0" w:space="0" w:color="auto"/>
      </w:divBdr>
      <w:divsChild>
        <w:div w:id="1782409104">
          <w:marLeft w:val="0"/>
          <w:marRight w:val="0"/>
          <w:marTop w:val="0"/>
          <w:marBottom w:val="0"/>
          <w:divBdr>
            <w:top w:val="none" w:sz="0" w:space="0" w:color="auto"/>
            <w:left w:val="none" w:sz="0" w:space="0" w:color="auto"/>
            <w:bottom w:val="none" w:sz="0" w:space="0" w:color="auto"/>
            <w:right w:val="none" w:sz="0" w:space="0" w:color="auto"/>
          </w:divBdr>
          <w:divsChild>
            <w:div w:id="52316681">
              <w:marLeft w:val="0"/>
              <w:marRight w:val="0"/>
              <w:marTop w:val="0"/>
              <w:marBottom w:val="0"/>
              <w:divBdr>
                <w:top w:val="none" w:sz="0" w:space="0" w:color="auto"/>
                <w:left w:val="none" w:sz="0" w:space="0" w:color="auto"/>
                <w:bottom w:val="none" w:sz="0" w:space="0" w:color="auto"/>
                <w:right w:val="none" w:sz="0" w:space="0" w:color="auto"/>
              </w:divBdr>
              <w:divsChild>
                <w:div w:id="1933052231">
                  <w:marLeft w:val="0"/>
                  <w:marRight w:val="0"/>
                  <w:marTop w:val="0"/>
                  <w:marBottom w:val="0"/>
                  <w:divBdr>
                    <w:top w:val="none" w:sz="0" w:space="0" w:color="auto"/>
                    <w:left w:val="none" w:sz="0" w:space="0" w:color="auto"/>
                    <w:bottom w:val="none" w:sz="0" w:space="0" w:color="auto"/>
                    <w:right w:val="none" w:sz="0" w:space="0" w:color="auto"/>
                  </w:divBdr>
                  <w:divsChild>
                    <w:div w:id="86582424">
                      <w:marLeft w:val="0"/>
                      <w:marRight w:val="0"/>
                      <w:marTop w:val="150"/>
                      <w:marBottom w:val="150"/>
                      <w:divBdr>
                        <w:top w:val="none" w:sz="0" w:space="0" w:color="auto"/>
                        <w:left w:val="none" w:sz="0" w:space="0" w:color="auto"/>
                        <w:bottom w:val="none" w:sz="0" w:space="0" w:color="auto"/>
                        <w:right w:val="none" w:sz="0" w:space="0" w:color="auto"/>
                      </w:divBdr>
                      <w:divsChild>
                        <w:div w:id="96216570">
                          <w:marLeft w:val="0"/>
                          <w:marRight w:val="0"/>
                          <w:marTop w:val="0"/>
                          <w:marBottom w:val="300"/>
                          <w:divBdr>
                            <w:top w:val="none" w:sz="0" w:space="0" w:color="auto"/>
                            <w:left w:val="none" w:sz="0" w:space="0" w:color="auto"/>
                            <w:bottom w:val="none" w:sz="0" w:space="0" w:color="auto"/>
                            <w:right w:val="none" w:sz="0" w:space="0" w:color="auto"/>
                          </w:divBdr>
                          <w:divsChild>
                            <w:div w:id="1233854180">
                              <w:marLeft w:val="0"/>
                              <w:marRight w:val="0"/>
                              <w:marTop w:val="0"/>
                              <w:marBottom w:val="0"/>
                              <w:divBdr>
                                <w:top w:val="none" w:sz="0" w:space="0" w:color="auto"/>
                                <w:left w:val="none" w:sz="0" w:space="0" w:color="auto"/>
                                <w:bottom w:val="none" w:sz="0" w:space="0" w:color="auto"/>
                                <w:right w:val="none" w:sz="0" w:space="0" w:color="auto"/>
                              </w:divBdr>
                            </w:div>
                            <w:div w:id="13489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80</Words>
  <Characters>457</Characters>
  <Application>Microsoft Office Word</Application>
  <DocSecurity>0</DocSecurity>
  <Lines>3</Lines>
  <Paragraphs>1</Paragraphs>
  <ScaleCrop>false</ScaleCrop>
  <Company>Hewlett-Packard Company</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7</cp:revision>
  <cp:lastPrinted>2016-03-17T00:20:00Z</cp:lastPrinted>
  <dcterms:created xsi:type="dcterms:W3CDTF">2019-04-01T02:13:00Z</dcterms:created>
  <dcterms:modified xsi:type="dcterms:W3CDTF">2019-04-01T06:01:00Z</dcterms:modified>
</cp:coreProperties>
</file>