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48" w:rsidRPr="00AB587C" w:rsidRDefault="00A97248" w:rsidP="00A97248">
      <w:pPr>
        <w:spacing w:afterLines="100" w:after="312" w:line="600" w:lineRule="atLeast"/>
        <w:jc w:val="center"/>
        <w:outlineLvl w:val="1"/>
        <w:rPr>
          <w:rFonts w:ascii="黑体" w:eastAsia="黑体" w:hAnsi="黑体"/>
          <w:color w:val="0D0D0D"/>
          <w:sz w:val="24"/>
          <w:szCs w:val="32"/>
        </w:rPr>
      </w:pPr>
      <w:r w:rsidRPr="00A97248">
        <w:rPr>
          <w:rFonts w:ascii="宋体" w:hAnsi="宋体" w:hint="eastAsia"/>
          <w:b/>
          <w:sz w:val="44"/>
          <w:szCs w:val="44"/>
        </w:rPr>
        <w:t>北京石油化工学院研究生学位论文暂不公开管理规定</w:t>
      </w:r>
    </w:p>
    <w:p w:rsidR="00A97248" w:rsidRDefault="00A97248" w:rsidP="00A97248">
      <w:pPr>
        <w:snapToGrid w:val="0"/>
        <w:spacing w:line="400" w:lineRule="exact"/>
        <w:rPr>
          <w:rFonts w:ascii="宋体" w:hAnsi="宋体"/>
          <w:color w:val="0D0D0D"/>
          <w:szCs w:val="21"/>
        </w:rPr>
      </w:pP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t>为进一步规范和加强研究生学位论文保密工作，保守国家机密，维护学校知识产权，根据《中华人民共和国保守国家秘密法》、《科学技术保密规定》</w:t>
      </w:r>
      <w:r w:rsidRPr="00A97248">
        <w:rPr>
          <w:rFonts w:ascii="仿宋_GB2312" w:eastAsia="仿宋_GB2312" w:hAnsi="宋体" w:hint="eastAsia"/>
          <w:sz w:val="32"/>
          <w:szCs w:val="32"/>
        </w:rPr>
        <w:t>等文件规定</w:t>
      </w:r>
      <w:r w:rsidRPr="00A97248">
        <w:rPr>
          <w:rFonts w:ascii="仿宋_GB2312" w:eastAsia="仿宋_GB2312" w:hAnsi="宋体"/>
          <w:sz w:val="32"/>
          <w:szCs w:val="32"/>
        </w:rPr>
        <w:t>，结合我校实际情况，制定本规定。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A97248">
        <w:rPr>
          <w:rFonts w:ascii="仿宋_GB2312" w:eastAsia="仿宋_GB2312" w:hAnsi="宋体" w:hint="eastAsia"/>
          <w:b/>
          <w:sz w:val="32"/>
          <w:szCs w:val="32"/>
        </w:rPr>
        <w:t>一、研究生学位论文申请暂不公开的条件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 w:hint="eastAsia"/>
          <w:sz w:val="32"/>
          <w:szCs w:val="32"/>
        </w:rPr>
        <w:t xml:space="preserve">1. </w:t>
      </w:r>
      <w:r w:rsidRPr="00A97248">
        <w:rPr>
          <w:rFonts w:ascii="仿宋_GB2312" w:eastAsia="仿宋_GB2312" w:hAnsi="宋体"/>
          <w:sz w:val="32"/>
          <w:szCs w:val="32"/>
        </w:rPr>
        <w:t>以国家或部委项目为选题的学位论文，项目承担人与委托单位签有保密协议者</w:t>
      </w:r>
      <w:r w:rsidRPr="00A97248">
        <w:rPr>
          <w:rFonts w:ascii="仿宋_GB2312" w:eastAsia="仿宋_GB2312" w:hAnsi="宋体" w:hint="eastAsia"/>
          <w:sz w:val="32"/>
          <w:szCs w:val="32"/>
        </w:rPr>
        <w:t>；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 w:hint="eastAsia"/>
          <w:sz w:val="32"/>
          <w:szCs w:val="32"/>
        </w:rPr>
        <w:t xml:space="preserve">2. </w:t>
      </w:r>
      <w:r w:rsidRPr="00A97248">
        <w:rPr>
          <w:rFonts w:ascii="仿宋_GB2312" w:eastAsia="仿宋_GB2312" w:hAnsi="宋体"/>
          <w:sz w:val="32"/>
          <w:szCs w:val="32"/>
        </w:rPr>
        <w:t>以横向项目为选题的学位论文，项目承担人与委托单位签有保密协议者</w:t>
      </w:r>
      <w:r w:rsidRPr="00A97248">
        <w:rPr>
          <w:rFonts w:ascii="仿宋_GB2312" w:eastAsia="仿宋_GB2312" w:hAnsi="宋体" w:hint="eastAsia"/>
          <w:sz w:val="32"/>
          <w:szCs w:val="32"/>
        </w:rPr>
        <w:t>；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t>3</w:t>
      </w:r>
      <w:r w:rsidRPr="00A97248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A97248">
        <w:rPr>
          <w:rFonts w:ascii="仿宋_GB2312" w:eastAsia="仿宋_GB2312" w:hAnsi="宋体"/>
          <w:sz w:val="32"/>
          <w:szCs w:val="32"/>
        </w:rPr>
        <w:t>研究成果未列入国家保密范围，但准备申请专利或技术转让，以及涉及技术或商业秘密，在一段时间内不宜公开的学位论文。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A97248">
        <w:rPr>
          <w:rFonts w:ascii="仿宋_GB2312" w:eastAsia="仿宋_GB2312" w:hAnsi="宋体" w:hint="eastAsia"/>
          <w:b/>
          <w:sz w:val="32"/>
          <w:szCs w:val="32"/>
        </w:rPr>
        <w:t>二、研究生学位论文申请暂不公开的程序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t>1</w:t>
      </w:r>
      <w:r w:rsidRPr="00A97248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A97248">
        <w:rPr>
          <w:rFonts w:ascii="仿宋_GB2312" w:eastAsia="仿宋_GB2312" w:hAnsi="宋体"/>
          <w:sz w:val="32"/>
          <w:szCs w:val="32"/>
        </w:rPr>
        <w:t>导师认为论文内容需要</w:t>
      </w:r>
      <w:r w:rsidRPr="00A97248">
        <w:rPr>
          <w:rFonts w:ascii="仿宋_GB2312" w:eastAsia="仿宋_GB2312" w:hAnsi="宋体" w:hint="eastAsia"/>
          <w:sz w:val="32"/>
          <w:szCs w:val="32"/>
        </w:rPr>
        <w:t>暂不公开</w:t>
      </w:r>
      <w:r w:rsidRPr="00A97248">
        <w:rPr>
          <w:rFonts w:ascii="仿宋_GB2312" w:eastAsia="仿宋_GB2312" w:hAnsi="宋体"/>
          <w:sz w:val="32"/>
          <w:szCs w:val="32"/>
        </w:rPr>
        <w:t>，应在</w:t>
      </w:r>
      <w:r w:rsidRPr="00A97248">
        <w:rPr>
          <w:rFonts w:ascii="仿宋_GB2312" w:eastAsia="仿宋_GB2312" w:hAnsi="宋体" w:hint="eastAsia"/>
          <w:sz w:val="32"/>
          <w:szCs w:val="32"/>
        </w:rPr>
        <w:t>开题时</w:t>
      </w:r>
      <w:r w:rsidRPr="00A97248">
        <w:rPr>
          <w:rFonts w:ascii="仿宋_GB2312" w:eastAsia="仿宋_GB2312" w:hAnsi="宋体"/>
          <w:sz w:val="32"/>
          <w:szCs w:val="32"/>
        </w:rPr>
        <w:t>提出申请</w:t>
      </w:r>
      <w:r w:rsidRPr="00A97248">
        <w:rPr>
          <w:rFonts w:ascii="仿宋_GB2312" w:eastAsia="仿宋_GB2312" w:hAnsi="宋体" w:hint="eastAsia"/>
          <w:sz w:val="32"/>
          <w:szCs w:val="32"/>
        </w:rPr>
        <w:t>，并经过开题报告审核小组认定；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t>2</w:t>
      </w:r>
      <w:r w:rsidRPr="00A97248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A97248">
        <w:rPr>
          <w:rFonts w:ascii="仿宋_GB2312" w:eastAsia="仿宋_GB2312" w:hAnsi="宋体"/>
          <w:sz w:val="32"/>
          <w:szCs w:val="32"/>
        </w:rPr>
        <w:t>由导师填写</w:t>
      </w:r>
      <w:r w:rsidRPr="00A97248">
        <w:rPr>
          <w:rFonts w:ascii="仿宋_GB2312" w:eastAsia="仿宋_GB2312" w:hAnsi="宋体"/>
          <w:sz w:val="32"/>
          <w:szCs w:val="32"/>
        </w:rPr>
        <w:t>“</w:t>
      </w:r>
      <w:r w:rsidRPr="00A97248">
        <w:rPr>
          <w:rFonts w:ascii="仿宋_GB2312" w:eastAsia="仿宋_GB2312" w:hAnsi="宋体"/>
          <w:sz w:val="32"/>
          <w:szCs w:val="32"/>
        </w:rPr>
        <w:t>北京</w:t>
      </w:r>
      <w:r w:rsidRPr="00A97248">
        <w:rPr>
          <w:rFonts w:ascii="仿宋_GB2312" w:eastAsia="仿宋_GB2312" w:hAnsi="宋体" w:hint="eastAsia"/>
          <w:sz w:val="32"/>
          <w:szCs w:val="32"/>
        </w:rPr>
        <w:t>石油化工学院</w:t>
      </w:r>
      <w:r w:rsidRPr="00A97248">
        <w:rPr>
          <w:rFonts w:ascii="仿宋_GB2312" w:eastAsia="仿宋_GB2312" w:hAnsi="宋体"/>
          <w:sz w:val="32"/>
          <w:szCs w:val="32"/>
        </w:rPr>
        <w:t>研究生学位论文</w:t>
      </w:r>
      <w:r w:rsidRPr="00A97248">
        <w:rPr>
          <w:rFonts w:ascii="仿宋_GB2312" w:eastAsia="仿宋_GB2312" w:hAnsi="宋体" w:hint="eastAsia"/>
          <w:sz w:val="32"/>
          <w:szCs w:val="32"/>
        </w:rPr>
        <w:t>暂不公开</w:t>
      </w:r>
      <w:r w:rsidRPr="00A97248">
        <w:rPr>
          <w:rFonts w:ascii="仿宋_GB2312" w:eastAsia="仿宋_GB2312" w:hAnsi="宋体"/>
          <w:sz w:val="32"/>
          <w:szCs w:val="32"/>
        </w:rPr>
        <w:t>申请表</w:t>
      </w:r>
      <w:r w:rsidRPr="00A97248">
        <w:rPr>
          <w:rFonts w:ascii="仿宋_GB2312" w:eastAsia="仿宋_GB2312" w:hAnsi="宋体"/>
          <w:sz w:val="32"/>
          <w:szCs w:val="32"/>
        </w:rPr>
        <w:t>”</w:t>
      </w:r>
      <w:r w:rsidRPr="00A97248">
        <w:rPr>
          <w:rFonts w:ascii="仿宋_GB2312" w:eastAsia="仿宋_GB2312" w:hAnsi="宋体"/>
          <w:sz w:val="32"/>
          <w:szCs w:val="32"/>
        </w:rPr>
        <w:t>，</w:t>
      </w:r>
      <w:r w:rsidRPr="00A97248">
        <w:rPr>
          <w:rFonts w:ascii="仿宋_GB2312" w:eastAsia="仿宋_GB2312" w:hAnsi="宋体" w:hint="eastAsia"/>
          <w:sz w:val="32"/>
          <w:szCs w:val="32"/>
        </w:rPr>
        <w:t>研究生所在教学院系</w:t>
      </w:r>
      <w:r w:rsidRPr="00A97248">
        <w:rPr>
          <w:rFonts w:ascii="仿宋_GB2312" w:eastAsia="仿宋_GB2312" w:hAnsi="宋体"/>
          <w:sz w:val="32"/>
          <w:szCs w:val="32"/>
        </w:rPr>
        <w:t>主管领导批准、经科技处认定盖章后，交研究生</w:t>
      </w:r>
      <w:r w:rsidRPr="00A97248">
        <w:rPr>
          <w:rFonts w:ascii="仿宋_GB2312" w:eastAsia="仿宋_GB2312" w:hAnsi="宋体" w:hint="eastAsia"/>
          <w:sz w:val="32"/>
          <w:szCs w:val="32"/>
        </w:rPr>
        <w:t>处</w:t>
      </w:r>
      <w:r w:rsidRPr="00A97248">
        <w:rPr>
          <w:rFonts w:ascii="仿宋_GB2312" w:eastAsia="仿宋_GB2312" w:hAnsi="宋体"/>
          <w:sz w:val="32"/>
          <w:szCs w:val="32"/>
        </w:rPr>
        <w:t>备案</w:t>
      </w:r>
      <w:r w:rsidRPr="00A97248">
        <w:rPr>
          <w:rFonts w:ascii="仿宋_GB2312" w:eastAsia="仿宋_GB2312" w:hAnsi="宋体" w:hint="eastAsia"/>
          <w:sz w:val="32"/>
          <w:szCs w:val="32"/>
        </w:rPr>
        <w:t>；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lastRenderedPageBreak/>
        <w:t>3</w:t>
      </w:r>
      <w:r w:rsidRPr="00A97248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A97248">
        <w:rPr>
          <w:rFonts w:ascii="仿宋_GB2312" w:eastAsia="仿宋_GB2312" w:hAnsi="宋体"/>
          <w:sz w:val="32"/>
          <w:szCs w:val="32"/>
        </w:rPr>
        <w:t>如果中途更换课题，学生提出重新开题申请者，符合第</w:t>
      </w:r>
      <w:r w:rsidRPr="00A97248">
        <w:rPr>
          <w:rFonts w:ascii="仿宋_GB2312" w:eastAsia="仿宋_GB2312" w:hAnsi="宋体" w:hint="eastAsia"/>
          <w:sz w:val="32"/>
          <w:szCs w:val="32"/>
        </w:rPr>
        <w:t>一</w:t>
      </w:r>
      <w:r w:rsidRPr="00A97248">
        <w:rPr>
          <w:rFonts w:ascii="仿宋_GB2312" w:eastAsia="仿宋_GB2312" w:hAnsi="宋体"/>
          <w:sz w:val="32"/>
          <w:szCs w:val="32"/>
        </w:rPr>
        <w:t>条所列条件的学位论文也可申请暂不公开；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t>4</w:t>
      </w:r>
      <w:r w:rsidRPr="00A97248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A97248">
        <w:rPr>
          <w:rFonts w:ascii="仿宋_GB2312" w:eastAsia="仿宋_GB2312" w:hAnsi="宋体"/>
          <w:sz w:val="32"/>
          <w:szCs w:val="32"/>
        </w:rPr>
        <w:t>论文暂不公开一般不接受事后申请。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A97248">
        <w:rPr>
          <w:rFonts w:ascii="仿宋_GB2312" w:eastAsia="仿宋_GB2312" w:hAnsi="宋体" w:hint="eastAsia"/>
          <w:b/>
          <w:sz w:val="32"/>
          <w:szCs w:val="32"/>
        </w:rPr>
        <w:t>三、研究生学位论文暂不公开期限的确定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t>论文的</w:t>
      </w:r>
      <w:r w:rsidRPr="00A97248">
        <w:rPr>
          <w:rFonts w:ascii="仿宋_GB2312" w:eastAsia="仿宋_GB2312" w:hAnsi="宋体" w:hint="eastAsia"/>
          <w:sz w:val="32"/>
          <w:szCs w:val="32"/>
        </w:rPr>
        <w:t>暂不公开</w:t>
      </w:r>
      <w:r w:rsidRPr="00A97248">
        <w:rPr>
          <w:rFonts w:ascii="仿宋_GB2312" w:eastAsia="仿宋_GB2312" w:hAnsi="宋体"/>
          <w:sz w:val="32"/>
          <w:szCs w:val="32"/>
        </w:rPr>
        <w:t>期限由导师提出申请，最终由科技处确定。</w:t>
      </w:r>
      <w:r w:rsidRPr="00A97248">
        <w:rPr>
          <w:rFonts w:ascii="仿宋_GB2312" w:eastAsia="仿宋_GB2312" w:hAnsi="宋体" w:hint="eastAsia"/>
          <w:sz w:val="32"/>
          <w:szCs w:val="32"/>
        </w:rPr>
        <w:t>如导师提出异议，可重新提出申请并说明理由，由研究生处、科技处共同仲裁。若暂不公开期限已满，还须继续保密，须再次申请。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A97248">
        <w:rPr>
          <w:rFonts w:ascii="仿宋_GB2312" w:eastAsia="仿宋_GB2312" w:hAnsi="宋体" w:hint="eastAsia"/>
          <w:b/>
          <w:sz w:val="32"/>
          <w:szCs w:val="32"/>
        </w:rPr>
        <w:t>四、暂不公开的研究生学位论文质量审核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 w:hint="eastAsia"/>
          <w:sz w:val="32"/>
          <w:szCs w:val="32"/>
        </w:rPr>
        <w:t>暂不公开的学位论文应按照《北京石油化工学院研究生学位论文学术规范审核实施办法》</w:t>
      </w:r>
      <w:r w:rsidRPr="00A97248">
        <w:rPr>
          <w:rFonts w:ascii="仿宋_GB2312" w:eastAsia="仿宋_GB2312" w:hAnsi="宋体"/>
          <w:sz w:val="32"/>
          <w:szCs w:val="32"/>
        </w:rPr>
        <w:t>、《</w:t>
      </w:r>
      <w:r w:rsidRPr="00A97248">
        <w:rPr>
          <w:rFonts w:ascii="仿宋_GB2312" w:eastAsia="仿宋_GB2312" w:hAnsi="宋体" w:hint="eastAsia"/>
          <w:sz w:val="32"/>
          <w:szCs w:val="32"/>
        </w:rPr>
        <w:t>北京石油化工学院关于专业学位</w:t>
      </w:r>
      <w:r>
        <w:rPr>
          <w:rFonts w:ascii="仿宋_GB2312" w:eastAsia="仿宋_GB2312" w:hAnsi="宋体" w:hint="eastAsia"/>
          <w:sz w:val="32"/>
          <w:szCs w:val="32"/>
        </w:rPr>
        <w:t>硕士</w:t>
      </w:r>
      <w:r w:rsidRPr="00A97248">
        <w:rPr>
          <w:rFonts w:ascii="仿宋_GB2312" w:eastAsia="仿宋_GB2312" w:hAnsi="宋体" w:hint="eastAsia"/>
          <w:sz w:val="32"/>
          <w:szCs w:val="32"/>
        </w:rPr>
        <w:t>研究生学位论文实行抽查盲评的规定</w:t>
      </w:r>
      <w:r w:rsidRPr="00A97248">
        <w:rPr>
          <w:rFonts w:ascii="仿宋_GB2312" w:eastAsia="仿宋_GB2312" w:hAnsi="宋体"/>
          <w:sz w:val="32"/>
          <w:szCs w:val="32"/>
        </w:rPr>
        <w:t>》</w:t>
      </w:r>
      <w:r w:rsidRPr="00A97248">
        <w:rPr>
          <w:rFonts w:ascii="仿宋_GB2312" w:eastAsia="仿宋_GB2312" w:hAnsi="宋体" w:hint="eastAsia"/>
          <w:sz w:val="32"/>
          <w:szCs w:val="32"/>
        </w:rPr>
        <w:t>中规定的</w:t>
      </w:r>
      <w:r w:rsidRPr="00A97248">
        <w:rPr>
          <w:rFonts w:ascii="仿宋_GB2312" w:eastAsia="仿宋_GB2312" w:hAnsi="宋体"/>
          <w:sz w:val="32"/>
          <w:szCs w:val="32"/>
        </w:rPr>
        <w:t>正常程序进行学术规范和</w:t>
      </w:r>
      <w:r w:rsidRPr="00A97248">
        <w:rPr>
          <w:rFonts w:ascii="仿宋_GB2312" w:eastAsia="仿宋_GB2312" w:hAnsi="宋体" w:hint="eastAsia"/>
          <w:sz w:val="32"/>
          <w:szCs w:val="32"/>
        </w:rPr>
        <w:t>学位论文</w:t>
      </w:r>
      <w:r w:rsidRPr="00A97248">
        <w:rPr>
          <w:rFonts w:ascii="仿宋_GB2312" w:eastAsia="仿宋_GB2312" w:hAnsi="宋体"/>
          <w:sz w:val="32"/>
          <w:szCs w:val="32"/>
        </w:rPr>
        <w:t>质量的审查。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196" w:firstLine="630"/>
        <w:jc w:val="left"/>
        <w:rPr>
          <w:rFonts w:ascii="仿宋_GB2312" w:eastAsia="仿宋_GB2312" w:hAnsi="宋体"/>
          <w:b/>
          <w:sz w:val="32"/>
          <w:szCs w:val="32"/>
        </w:rPr>
      </w:pPr>
      <w:r w:rsidRPr="00A97248">
        <w:rPr>
          <w:rFonts w:ascii="仿宋_GB2312" w:eastAsia="仿宋_GB2312" w:hAnsi="宋体" w:hint="eastAsia"/>
          <w:b/>
          <w:sz w:val="32"/>
          <w:szCs w:val="32"/>
        </w:rPr>
        <w:t>五、暂不公开研究生学位论文的存放与保管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t>1</w:t>
      </w:r>
      <w:r w:rsidRPr="00A97248">
        <w:rPr>
          <w:rFonts w:ascii="仿宋_GB2312" w:eastAsia="仿宋_GB2312" w:hAnsi="宋体" w:hint="eastAsia"/>
          <w:sz w:val="32"/>
          <w:szCs w:val="32"/>
        </w:rPr>
        <w:t>. 暂不公开研究生</w:t>
      </w:r>
      <w:r w:rsidRPr="00A97248">
        <w:rPr>
          <w:rFonts w:ascii="仿宋_GB2312" w:eastAsia="仿宋_GB2312" w:hAnsi="宋体"/>
          <w:sz w:val="32"/>
          <w:szCs w:val="32"/>
        </w:rPr>
        <w:t>学位论文应在论文封面左上角用印章注明</w:t>
      </w:r>
      <w:r w:rsidRPr="00A97248">
        <w:rPr>
          <w:rFonts w:ascii="仿宋_GB2312" w:eastAsia="仿宋_GB2312" w:hAnsi="宋体" w:hint="eastAsia"/>
          <w:sz w:val="32"/>
          <w:szCs w:val="32"/>
        </w:rPr>
        <w:t>“内部事项”字样</w:t>
      </w:r>
      <w:r w:rsidRPr="00A97248">
        <w:rPr>
          <w:rFonts w:ascii="仿宋_GB2312" w:eastAsia="仿宋_GB2312" w:hAnsi="宋体"/>
          <w:sz w:val="32"/>
          <w:szCs w:val="32"/>
        </w:rPr>
        <w:t>及</w:t>
      </w:r>
      <w:r w:rsidRPr="00A97248">
        <w:rPr>
          <w:rFonts w:ascii="仿宋_GB2312" w:eastAsia="仿宋_GB2312" w:hAnsi="宋体" w:hint="eastAsia"/>
          <w:sz w:val="32"/>
          <w:szCs w:val="32"/>
        </w:rPr>
        <w:t>暂不公开</w:t>
      </w:r>
      <w:r w:rsidRPr="00A97248">
        <w:rPr>
          <w:rFonts w:ascii="仿宋_GB2312" w:eastAsia="仿宋_GB2312" w:hAnsi="宋体"/>
          <w:sz w:val="32"/>
          <w:szCs w:val="32"/>
        </w:rPr>
        <w:t>期限。标识符号为</w:t>
      </w:r>
      <w:r w:rsidRPr="00A97248">
        <w:rPr>
          <w:rFonts w:ascii="仿宋_GB2312" w:eastAsia="仿宋_GB2312" w:hAnsi="宋体"/>
          <w:sz w:val="32"/>
          <w:szCs w:val="32"/>
        </w:rPr>
        <w:t>“★”</w:t>
      </w:r>
      <w:r w:rsidRPr="00A97248">
        <w:rPr>
          <w:rFonts w:ascii="仿宋_GB2312" w:eastAsia="仿宋_GB2312" w:hAnsi="宋体"/>
          <w:sz w:val="32"/>
          <w:szCs w:val="32"/>
        </w:rPr>
        <w:t>，</w:t>
      </w:r>
      <w:proofErr w:type="gramStart"/>
      <w:r w:rsidRPr="00A97248">
        <w:rPr>
          <w:rFonts w:ascii="仿宋_GB2312" w:eastAsia="仿宋_GB2312" w:hAnsi="宋体"/>
          <w:sz w:val="32"/>
          <w:szCs w:val="32"/>
        </w:rPr>
        <w:t>“★”</w:t>
      </w:r>
      <w:r w:rsidRPr="00A97248">
        <w:rPr>
          <w:rFonts w:ascii="仿宋_GB2312" w:eastAsia="仿宋_GB2312" w:hAnsi="宋体"/>
          <w:sz w:val="32"/>
          <w:szCs w:val="32"/>
        </w:rPr>
        <w:t>前标</w:t>
      </w:r>
      <w:r w:rsidRPr="00A97248">
        <w:rPr>
          <w:rFonts w:ascii="仿宋_GB2312" w:eastAsia="仿宋_GB2312" w:hAnsi="宋体" w:hint="eastAsia"/>
          <w:sz w:val="32"/>
          <w:szCs w:val="32"/>
        </w:rPr>
        <w:t>暂不</w:t>
      </w:r>
      <w:proofErr w:type="gramEnd"/>
      <w:r w:rsidRPr="00A97248">
        <w:rPr>
          <w:rFonts w:ascii="仿宋_GB2312" w:eastAsia="仿宋_GB2312" w:hAnsi="宋体" w:hint="eastAsia"/>
          <w:sz w:val="32"/>
          <w:szCs w:val="32"/>
        </w:rPr>
        <w:t>公开</w:t>
      </w:r>
      <w:r w:rsidRPr="00A97248">
        <w:rPr>
          <w:rFonts w:ascii="仿宋_GB2312" w:eastAsia="仿宋_GB2312" w:hAnsi="宋体"/>
          <w:sz w:val="32"/>
          <w:szCs w:val="32"/>
        </w:rPr>
        <w:t>，</w:t>
      </w:r>
      <w:proofErr w:type="gramStart"/>
      <w:r w:rsidRPr="00A97248">
        <w:rPr>
          <w:rFonts w:ascii="仿宋_GB2312" w:eastAsia="仿宋_GB2312" w:hAnsi="宋体"/>
          <w:sz w:val="32"/>
          <w:szCs w:val="32"/>
        </w:rPr>
        <w:t>“★”</w:t>
      </w:r>
      <w:r w:rsidRPr="00A97248">
        <w:rPr>
          <w:rFonts w:ascii="仿宋_GB2312" w:eastAsia="仿宋_GB2312" w:hAnsi="宋体"/>
          <w:sz w:val="32"/>
          <w:szCs w:val="32"/>
        </w:rPr>
        <w:t>后标</w:t>
      </w:r>
      <w:r w:rsidRPr="00A97248">
        <w:rPr>
          <w:rFonts w:ascii="仿宋_GB2312" w:eastAsia="仿宋_GB2312" w:hAnsi="宋体" w:hint="eastAsia"/>
          <w:sz w:val="32"/>
          <w:szCs w:val="32"/>
        </w:rPr>
        <w:t>暂不</w:t>
      </w:r>
      <w:proofErr w:type="gramEnd"/>
      <w:r w:rsidRPr="00A97248">
        <w:rPr>
          <w:rFonts w:ascii="仿宋_GB2312" w:eastAsia="仿宋_GB2312" w:hAnsi="宋体" w:hint="eastAsia"/>
          <w:sz w:val="32"/>
          <w:szCs w:val="32"/>
        </w:rPr>
        <w:t>公开</w:t>
      </w:r>
      <w:r w:rsidRPr="00A97248">
        <w:rPr>
          <w:rFonts w:ascii="仿宋_GB2312" w:eastAsia="仿宋_GB2312" w:hAnsi="宋体"/>
          <w:sz w:val="32"/>
          <w:szCs w:val="32"/>
        </w:rPr>
        <w:t>期限。例如</w:t>
      </w:r>
      <w:r w:rsidRPr="00A97248">
        <w:rPr>
          <w:rFonts w:ascii="仿宋_GB2312" w:eastAsia="仿宋_GB2312" w:hAnsi="宋体"/>
          <w:sz w:val="32"/>
          <w:szCs w:val="32"/>
        </w:rPr>
        <w:t>“</w:t>
      </w:r>
      <w:r w:rsidRPr="00A97248">
        <w:rPr>
          <w:rFonts w:ascii="仿宋_GB2312" w:eastAsia="仿宋_GB2312" w:hAnsi="宋体" w:hint="eastAsia"/>
          <w:sz w:val="32"/>
          <w:szCs w:val="32"/>
        </w:rPr>
        <w:t>内部事项</w:t>
      </w:r>
      <w:r w:rsidRPr="00A97248">
        <w:rPr>
          <w:rFonts w:ascii="仿宋_GB2312" w:eastAsia="仿宋_GB2312" w:hAnsi="宋体"/>
          <w:sz w:val="32"/>
          <w:szCs w:val="32"/>
        </w:rPr>
        <w:t>★</w:t>
      </w:r>
      <w:r w:rsidRPr="00A97248">
        <w:rPr>
          <w:rFonts w:ascii="仿宋_GB2312" w:eastAsia="仿宋_GB2312" w:hAnsi="宋体"/>
          <w:sz w:val="32"/>
          <w:szCs w:val="32"/>
        </w:rPr>
        <w:t>3年</w:t>
      </w:r>
      <w:r w:rsidRPr="00A97248">
        <w:rPr>
          <w:rFonts w:ascii="仿宋_GB2312" w:eastAsia="仿宋_GB2312" w:hAnsi="宋体"/>
          <w:sz w:val="32"/>
          <w:szCs w:val="32"/>
        </w:rPr>
        <w:t>”</w:t>
      </w:r>
      <w:r w:rsidRPr="00A97248">
        <w:rPr>
          <w:rFonts w:ascii="仿宋_GB2312" w:eastAsia="仿宋_GB2312" w:hAnsi="宋体" w:hint="eastAsia"/>
          <w:sz w:val="32"/>
          <w:szCs w:val="32"/>
        </w:rPr>
        <w:t>；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t>2</w:t>
      </w:r>
      <w:r w:rsidRPr="00A97248">
        <w:rPr>
          <w:rFonts w:ascii="仿宋_GB2312" w:eastAsia="仿宋_GB2312" w:hAnsi="宋体" w:hint="eastAsia"/>
          <w:sz w:val="32"/>
          <w:szCs w:val="32"/>
        </w:rPr>
        <w:t>. 暂不公开</w:t>
      </w:r>
      <w:r w:rsidRPr="00A97248">
        <w:rPr>
          <w:rFonts w:ascii="仿宋_GB2312" w:eastAsia="仿宋_GB2312" w:hAnsi="宋体"/>
          <w:sz w:val="32"/>
          <w:szCs w:val="32"/>
        </w:rPr>
        <w:t>的</w:t>
      </w:r>
      <w:r w:rsidRPr="00A97248">
        <w:rPr>
          <w:rFonts w:ascii="仿宋_GB2312" w:eastAsia="仿宋_GB2312" w:hAnsi="宋体" w:hint="eastAsia"/>
          <w:sz w:val="32"/>
          <w:szCs w:val="32"/>
        </w:rPr>
        <w:t>研究生</w:t>
      </w:r>
      <w:r w:rsidRPr="00A97248">
        <w:rPr>
          <w:rFonts w:ascii="仿宋_GB2312" w:eastAsia="仿宋_GB2312" w:hAnsi="宋体"/>
          <w:sz w:val="32"/>
          <w:szCs w:val="32"/>
        </w:rPr>
        <w:t>学位论文，在校档案科和图书馆各存档一份，由专人管理，不经论文作者或作者导师同意，任何人不得调阅</w:t>
      </w:r>
      <w:r w:rsidRPr="00A97248">
        <w:rPr>
          <w:rFonts w:ascii="仿宋_GB2312" w:eastAsia="仿宋_GB2312" w:hAnsi="宋体" w:hint="eastAsia"/>
          <w:sz w:val="32"/>
          <w:szCs w:val="32"/>
        </w:rPr>
        <w:t>；</w:t>
      </w:r>
      <w:r w:rsidRPr="00A97248">
        <w:rPr>
          <w:rFonts w:ascii="仿宋_GB2312" w:eastAsia="仿宋_GB2312" w:hAnsi="宋体"/>
          <w:sz w:val="32"/>
          <w:szCs w:val="32"/>
        </w:rPr>
        <w:t xml:space="preserve"> 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lastRenderedPageBreak/>
        <w:t>3</w:t>
      </w:r>
      <w:r w:rsidRPr="00A97248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A97248">
        <w:rPr>
          <w:rFonts w:ascii="仿宋_GB2312" w:eastAsia="仿宋_GB2312" w:hAnsi="宋体"/>
          <w:sz w:val="32"/>
          <w:szCs w:val="32"/>
        </w:rPr>
        <w:t>因工作关系接触</w:t>
      </w:r>
      <w:r w:rsidRPr="00A97248">
        <w:rPr>
          <w:rFonts w:ascii="仿宋_GB2312" w:eastAsia="仿宋_GB2312" w:hAnsi="宋体" w:hint="eastAsia"/>
          <w:sz w:val="32"/>
          <w:szCs w:val="32"/>
        </w:rPr>
        <w:t>暂不公开研究生学位</w:t>
      </w:r>
      <w:r w:rsidRPr="00A97248">
        <w:rPr>
          <w:rFonts w:ascii="仿宋_GB2312" w:eastAsia="仿宋_GB2312" w:hAnsi="宋体"/>
          <w:sz w:val="32"/>
          <w:szCs w:val="32"/>
        </w:rPr>
        <w:t>论文的人员，</w:t>
      </w:r>
      <w:r w:rsidRPr="00A97248">
        <w:rPr>
          <w:rFonts w:ascii="仿宋_GB2312" w:eastAsia="仿宋_GB2312" w:hAnsi="宋体" w:hint="eastAsia"/>
          <w:sz w:val="32"/>
          <w:szCs w:val="32"/>
        </w:rPr>
        <w:t>未经论文作者或作者导师的书面同意，</w:t>
      </w:r>
      <w:r w:rsidRPr="00A97248">
        <w:rPr>
          <w:rFonts w:ascii="仿宋_GB2312" w:eastAsia="仿宋_GB2312" w:hAnsi="宋体"/>
          <w:sz w:val="32"/>
          <w:szCs w:val="32"/>
        </w:rPr>
        <w:t>不得以任何形式复制论文的全部或部分内容</w:t>
      </w:r>
      <w:r w:rsidRPr="00A97248">
        <w:rPr>
          <w:rFonts w:ascii="仿宋_GB2312" w:eastAsia="仿宋_GB2312" w:hAnsi="宋体" w:hint="eastAsia"/>
          <w:sz w:val="32"/>
          <w:szCs w:val="32"/>
        </w:rPr>
        <w:t>；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7248">
        <w:rPr>
          <w:rFonts w:ascii="仿宋_GB2312" w:eastAsia="仿宋_GB2312" w:hAnsi="宋体"/>
          <w:sz w:val="32"/>
          <w:szCs w:val="32"/>
        </w:rPr>
        <w:t>4</w:t>
      </w:r>
      <w:r w:rsidRPr="00A97248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A97248">
        <w:rPr>
          <w:rFonts w:ascii="仿宋_GB2312" w:eastAsia="仿宋_GB2312" w:hAnsi="宋体"/>
          <w:sz w:val="32"/>
          <w:szCs w:val="32"/>
        </w:rPr>
        <w:t>论文</w:t>
      </w:r>
      <w:r w:rsidRPr="00A97248">
        <w:rPr>
          <w:rFonts w:ascii="仿宋_GB2312" w:eastAsia="仿宋_GB2312" w:hAnsi="宋体" w:hint="eastAsia"/>
          <w:sz w:val="32"/>
          <w:szCs w:val="32"/>
        </w:rPr>
        <w:t>暂不公开</w:t>
      </w:r>
      <w:r w:rsidRPr="00A97248">
        <w:rPr>
          <w:rFonts w:ascii="仿宋_GB2312" w:eastAsia="仿宋_GB2312" w:hAnsi="宋体"/>
          <w:sz w:val="32"/>
          <w:szCs w:val="32"/>
        </w:rPr>
        <w:t>期满后，将自行解密公开。</w:t>
      </w:r>
    </w:p>
    <w:p w:rsidR="00A97248" w:rsidRPr="00A97248" w:rsidRDefault="00A97248" w:rsidP="00A97248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A97248">
        <w:rPr>
          <w:rFonts w:ascii="仿宋_GB2312" w:eastAsia="仿宋_GB2312" w:hAnsi="宋体" w:hint="eastAsia"/>
          <w:b/>
          <w:sz w:val="32"/>
          <w:szCs w:val="32"/>
        </w:rPr>
        <w:t>六、本规定自公布之日起施行，解释权归属研究生处，由研究生处学位办公室负责解释。</w:t>
      </w:r>
      <w:bookmarkStart w:id="0" w:name="_GoBack"/>
      <w:bookmarkEnd w:id="0"/>
    </w:p>
    <w:sectPr w:rsidR="00A97248" w:rsidRPr="00A972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9E" w:rsidRDefault="00CE289E">
      <w:r>
        <w:separator/>
      </w:r>
    </w:p>
  </w:endnote>
  <w:endnote w:type="continuationSeparator" w:id="0">
    <w:p w:rsidR="00CE289E" w:rsidRDefault="00CE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276" w:rsidRPr="00BC7276">
      <w:rPr>
        <w:noProof/>
        <w:lang w:val="zh-CN"/>
      </w:rPr>
      <w:t>2</w:t>
    </w:r>
    <w:r>
      <w:fldChar w:fldCharType="end"/>
    </w:r>
  </w:p>
  <w:p w:rsidR="003D1E85" w:rsidRDefault="00CE28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9E" w:rsidRDefault="00CE289E">
      <w:r>
        <w:separator/>
      </w:r>
    </w:p>
  </w:footnote>
  <w:footnote w:type="continuationSeparator" w:id="0">
    <w:p w:rsidR="00CE289E" w:rsidRDefault="00CE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B"/>
    <w:rsid w:val="00055AD3"/>
    <w:rsid w:val="000D01A2"/>
    <w:rsid w:val="00256888"/>
    <w:rsid w:val="002C2C25"/>
    <w:rsid w:val="003B5CA7"/>
    <w:rsid w:val="004340BA"/>
    <w:rsid w:val="004670B2"/>
    <w:rsid w:val="00487B7F"/>
    <w:rsid w:val="005025F2"/>
    <w:rsid w:val="0051632E"/>
    <w:rsid w:val="005872D3"/>
    <w:rsid w:val="005A7CFA"/>
    <w:rsid w:val="005B5E43"/>
    <w:rsid w:val="005F3950"/>
    <w:rsid w:val="006112BB"/>
    <w:rsid w:val="006D1DB9"/>
    <w:rsid w:val="007674F7"/>
    <w:rsid w:val="00876794"/>
    <w:rsid w:val="00A35F58"/>
    <w:rsid w:val="00A5581E"/>
    <w:rsid w:val="00A97248"/>
    <w:rsid w:val="00AC17B0"/>
    <w:rsid w:val="00B168BD"/>
    <w:rsid w:val="00B2772E"/>
    <w:rsid w:val="00B42061"/>
    <w:rsid w:val="00BA1D55"/>
    <w:rsid w:val="00BC7276"/>
    <w:rsid w:val="00C05CEC"/>
    <w:rsid w:val="00C06F37"/>
    <w:rsid w:val="00C201C4"/>
    <w:rsid w:val="00C21B94"/>
    <w:rsid w:val="00CB6984"/>
    <w:rsid w:val="00CB6CC6"/>
    <w:rsid w:val="00CE289E"/>
    <w:rsid w:val="00D13EF2"/>
    <w:rsid w:val="00E32312"/>
    <w:rsid w:val="00EF179A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2014-04-23T02:26:00Z</dcterms:created>
  <dcterms:modified xsi:type="dcterms:W3CDTF">2014-06-03T01:19:00Z</dcterms:modified>
</cp:coreProperties>
</file>