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A3669">
      <w:pPr>
        <w:tabs>
          <w:tab w:val="left" w:pos="360"/>
          <w:tab w:val="left" w:pos="900"/>
        </w:tabs>
        <w:snapToGrid w:val="0"/>
        <w:spacing w:line="360" w:lineRule="auto"/>
        <w:jc w:val="center"/>
        <w:outlineLvl w:val="1"/>
        <w:rPr>
          <w:rFonts w:hint="default" w:ascii="Times New Roman" w:hAnsi="Times New Roman" w:cs="Times New Roman"/>
          <w:b/>
        </w:rPr>
      </w:pPr>
      <w:r>
        <w:rPr>
          <w:rFonts w:hint="eastAsia" w:ascii="Times New Roman" w:hAnsi="Times New Roman" w:eastAsia="宋体" w:cs="Times New Roman"/>
          <w:b/>
          <w:bCs/>
          <w:color w:val="000000"/>
          <w:kern w:val="0"/>
          <w:sz w:val="24"/>
          <w:highlight w:val="none"/>
          <w:lang w:val="en-US" w:eastAsia="zh-CN" w:bidi="ar"/>
        </w:rPr>
        <w:t>“第四章 评标程序、评标方法和评标标准”中的“二、评标标准”</w:t>
      </w:r>
    </w:p>
    <w:tbl>
      <w:tblPr>
        <w:tblStyle w:val="3"/>
        <w:tblpPr w:leftFromText="180" w:rightFromText="180" w:vertAnchor="text" w:horzAnchor="page" w:tblpX="1108" w:tblpY="472"/>
        <w:tblOverlap w:val="never"/>
        <w:tblW w:w="9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61"/>
        <w:gridCol w:w="1139"/>
        <w:gridCol w:w="810"/>
        <w:gridCol w:w="6024"/>
      </w:tblGrid>
      <w:tr w14:paraId="081B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vAlign w:val="center"/>
          </w:tcPr>
          <w:p w14:paraId="6EF519D5">
            <w:pP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lang w:val="en-US" w:eastAsia="zh-CN"/>
              </w:rPr>
              <w:br w:type="page"/>
            </w:r>
            <w:r>
              <w:rPr>
                <w:rFonts w:hint="default" w:ascii="Times New Roman" w:hAnsi="Times New Roman" w:eastAsia="宋体" w:cs="Times New Roman"/>
                <w:b/>
                <w:sz w:val="21"/>
                <w:szCs w:val="21"/>
              </w:rPr>
              <w:t>序号</w:t>
            </w:r>
          </w:p>
        </w:tc>
        <w:tc>
          <w:tcPr>
            <w:tcW w:w="1161" w:type="dxa"/>
            <w:vAlign w:val="center"/>
          </w:tcPr>
          <w:p w14:paraId="7096A794">
            <w:pPr>
              <w:snapToGrid w:val="0"/>
              <w:spacing w:line="36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评分因素</w:t>
            </w:r>
          </w:p>
        </w:tc>
        <w:tc>
          <w:tcPr>
            <w:tcW w:w="7973" w:type="dxa"/>
            <w:gridSpan w:val="3"/>
            <w:vAlign w:val="center"/>
          </w:tcPr>
          <w:p w14:paraId="6C33C274">
            <w:pPr>
              <w:snapToGrid w:val="0"/>
              <w:spacing w:line="36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评价指标和分值</w:t>
            </w:r>
          </w:p>
        </w:tc>
      </w:tr>
      <w:tr w14:paraId="7374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vAlign w:val="center"/>
          </w:tcPr>
          <w:p w14:paraId="59A796A2">
            <w:pPr>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161" w:type="dxa"/>
            <w:vAlign w:val="center"/>
          </w:tcPr>
          <w:p w14:paraId="2A7D39FF">
            <w:pPr>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商务部分</w:t>
            </w:r>
          </w:p>
          <w:p w14:paraId="7DFDC6ED">
            <w:pPr>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分）</w:t>
            </w:r>
          </w:p>
        </w:tc>
        <w:tc>
          <w:tcPr>
            <w:tcW w:w="1139" w:type="dxa"/>
            <w:vAlign w:val="center"/>
          </w:tcPr>
          <w:p w14:paraId="23E073DF">
            <w:pPr>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企业业绩及经验</w:t>
            </w:r>
          </w:p>
        </w:tc>
        <w:tc>
          <w:tcPr>
            <w:tcW w:w="810" w:type="dxa"/>
            <w:vAlign w:val="center"/>
          </w:tcPr>
          <w:p w14:paraId="00FEC78C">
            <w:pPr>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分</w:t>
            </w:r>
          </w:p>
        </w:tc>
        <w:tc>
          <w:tcPr>
            <w:tcW w:w="6024" w:type="dxa"/>
            <w:vAlign w:val="center"/>
          </w:tcPr>
          <w:p w14:paraId="186A67B7">
            <w:pPr>
              <w:adjustRightInd w:val="0"/>
              <w:snapToGrid w:val="0"/>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综合考虑投标人自</w:t>
            </w:r>
            <w:r>
              <w:rPr>
                <w:rFonts w:hint="default" w:ascii="Times New Roman" w:hAnsi="Times New Roman" w:eastAsia="宋体" w:cs="Times New Roman"/>
                <w:bCs/>
                <w:sz w:val="21"/>
                <w:szCs w:val="21"/>
                <w:lang w:eastAsia="zh-CN"/>
              </w:rPr>
              <w:t>2023年1月1日</w:t>
            </w:r>
            <w:r>
              <w:rPr>
                <w:rFonts w:hint="default" w:ascii="Times New Roman" w:hAnsi="Times New Roman" w:eastAsia="宋体" w:cs="Times New Roman"/>
                <w:bCs/>
                <w:sz w:val="21"/>
                <w:szCs w:val="21"/>
              </w:rPr>
              <w:t>起至今（以合同签订日期为准），做过的与本</w:t>
            </w:r>
            <w:r>
              <w:rPr>
                <w:rFonts w:hint="default" w:ascii="Times New Roman" w:hAnsi="Times New Roman" w:eastAsia="宋体" w:cs="Times New Roman"/>
                <w:bCs/>
                <w:sz w:val="21"/>
                <w:szCs w:val="21"/>
                <w:lang w:val="en-US" w:eastAsia="zh-CN"/>
              </w:rPr>
              <w:t>项目</w:t>
            </w:r>
            <w:r>
              <w:rPr>
                <w:rFonts w:hint="default" w:ascii="Times New Roman" w:hAnsi="Times New Roman" w:eastAsia="宋体" w:cs="Times New Roman"/>
                <w:bCs/>
                <w:sz w:val="21"/>
                <w:szCs w:val="21"/>
              </w:rPr>
              <w:t>采购内容类似的业绩</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业绩中应包含核心产品：撞击流排烟罩</w:t>
            </w:r>
            <w:r>
              <w:rPr>
                <w:rFonts w:hint="default" w:ascii="Times New Roman" w:hAnsi="Times New Roman" w:eastAsia="宋体" w:cs="Times New Roman"/>
                <w:lang w:eastAsia="zh-CN"/>
              </w:rPr>
              <w:t>）</w:t>
            </w:r>
            <w:r>
              <w:rPr>
                <w:rFonts w:hint="default" w:ascii="Times New Roman" w:hAnsi="Times New Roman" w:eastAsia="宋体" w:cs="Times New Roman"/>
                <w:bCs/>
                <w:sz w:val="21"/>
                <w:szCs w:val="21"/>
              </w:rPr>
              <w:t>，每提供1个有效业绩得</w:t>
            </w:r>
            <w:r>
              <w:rPr>
                <w:rFonts w:hint="default" w:ascii="Times New Roman" w:hAnsi="Times New Roman" w:eastAsia="宋体" w:cs="Times New Roman"/>
                <w:bCs/>
                <w:sz w:val="21"/>
                <w:szCs w:val="21"/>
                <w:lang w:val="en-US" w:eastAsia="zh-CN"/>
              </w:rPr>
              <w:t>2</w:t>
            </w:r>
            <w:r>
              <w:rPr>
                <w:rFonts w:hint="default" w:ascii="Times New Roman" w:hAnsi="Times New Roman" w:eastAsia="宋体" w:cs="Times New Roman"/>
                <w:bCs/>
                <w:sz w:val="21"/>
                <w:szCs w:val="21"/>
              </w:rPr>
              <w:t>分，该项最高得</w:t>
            </w:r>
            <w:r>
              <w:rPr>
                <w:rFonts w:hint="default" w:ascii="Times New Roman" w:hAnsi="Times New Roman" w:eastAsia="宋体" w:cs="Times New Roman"/>
                <w:bCs/>
                <w:sz w:val="21"/>
                <w:szCs w:val="21"/>
                <w:lang w:val="en-US" w:eastAsia="zh-CN"/>
              </w:rPr>
              <w:t>10</w:t>
            </w:r>
            <w:r>
              <w:rPr>
                <w:rFonts w:hint="default" w:ascii="Times New Roman" w:hAnsi="Times New Roman" w:eastAsia="宋体" w:cs="Times New Roman"/>
                <w:bCs/>
                <w:sz w:val="21"/>
                <w:szCs w:val="21"/>
              </w:rPr>
              <w:t>分。</w:t>
            </w:r>
          </w:p>
          <w:p w14:paraId="2F4A2861">
            <w:pPr>
              <w:adjustRightInd w:val="0"/>
              <w:snapToGrid w:val="0"/>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注：须提供合同复印件</w:t>
            </w:r>
            <w:r>
              <w:rPr>
                <w:rFonts w:hint="default" w:ascii="Times New Roman" w:hAnsi="Times New Roman" w:eastAsia="宋体" w:cs="Times New Roman"/>
                <w:b/>
                <w:bCs/>
                <w:sz w:val="21"/>
                <w:szCs w:val="21"/>
                <w:lang w:val="en-US" w:eastAsia="zh-CN"/>
              </w:rPr>
              <w:t>（包括但不限于合同首页、设备清单页、金额页、签字盖章日期页等）</w:t>
            </w:r>
            <w:r>
              <w:rPr>
                <w:rFonts w:hint="default" w:ascii="Times New Roman" w:hAnsi="Times New Roman" w:eastAsia="宋体" w:cs="Times New Roman"/>
                <w:b/>
                <w:bCs/>
                <w:sz w:val="21"/>
                <w:szCs w:val="21"/>
              </w:rPr>
              <w:t>，并加盖投标人公章。</w:t>
            </w:r>
          </w:p>
        </w:tc>
      </w:tr>
      <w:tr w14:paraId="0698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vMerge w:val="restart"/>
            <w:vAlign w:val="center"/>
          </w:tcPr>
          <w:p w14:paraId="113AC698">
            <w:pPr>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161" w:type="dxa"/>
            <w:vMerge w:val="restart"/>
            <w:vAlign w:val="center"/>
          </w:tcPr>
          <w:p w14:paraId="54E5C2C1">
            <w:pPr>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技术部分</w:t>
            </w:r>
          </w:p>
          <w:p w14:paraId="72BAECE1">
            <w:pPr>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59</w:t>
            </w:r>
            <w:r>
              <w:rPr>
                <w:rFonts w:hint="default" w:ascii="Times New Roman" w:hAnsi="Times New Roman" w:eastAsia="宋体" w:cs="Times New Roman"/>
                <w:sz w:val="21"/>
                <w:szCs w:val="21"/>
              </w:rPr>
              <w:t>分）</w:t>
            </w:r>
          </w:p>
        </w:tc>
        <w:tc>
          <w:tcPr>
            <w:tcW w:w="1139" w:type="dxa"/>
            <w:vMerge w:val="restart"/>
            <w:vAlign w:val="center"/>
          </w:tcPr>
          <w:p w14:paraId="7C77E502">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技术参数响应程度</w:t>
            </w:r>
          </w:p>
        </w:tc>
        <w:tc>
          <w:tcPr>
            <w:tcW w:w="810" w:type="dxa"/>
            <w:vAlign w:val="center"/>
          </w:tcPr>
          <w:p w14:paraId="302A8069">
            <w:pPr>
              <w:snapToGrid w:val="0"/>
              <w:spacing w:line="36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13</w:t>
            </w:r>
            <w:r>
              <w:rPr>
                <w:rFonts w:hint="default" w:ascii="Times New Roman" w:hAnsi="Times New Roman" w:eastAsia="宋体" w:cs="Times New Roman"/>
                <w:color w:val="000000" w:themeColor="text1"/>
                <w:sz w:val="21"/>
                <w:szCs w:val="21"/>
                <w:highlight w:val="none"/>
                <w14:textFill>
                  <w14:solidFill>
                    <w14:schemeClr w14:val="tx1"/>
                  </w14:solidFill>
                </w14:textFill>
              </w:rPr>
              <w:t>分</w:t>
            </w:r>
          </w:p>
        </w:tc>
        <w:tc>
          <w:tcPr>
            <w:tcW w:w="6024" w:type="dxa"/>
            <w:vAlign w:val="center"/>
          </w:tcPr>
          <w:p w14:paraId="734AAF21">
            <w:pPr>
              <w:spacing w:line="360" w:lineRule="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综合考虑投标人所投产品对第五章</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14:textFill>
                  <w14:solidFill>
                    <w14:schemeClr w14:val="tx1"/>
                  </w14:solidFill>
                </w14:textFill>
              </w:rPr>
              <w:t>采购需求“</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三、</w:t>
            </w:r>
            <w:r>
              <w:rPr>
                <w:rFonts w:hint="default" w:ascii="Times New Roman" w:hAnsi="Times New Roman" w:eastAsia="宋体" w:cs="Times New Roman"/>
                <w:color w:val="000000" w:themeColor="text1"/>
                <w:sz w:val="21"/>
                <w:szCs w:val="21"/>
                <w:highlight w:val="none"/>
                <w14:textFill>
                  <w14:solidFill>
                    <w14:schemeClr w14:val="tx1"/>
                  </w14:solidFill>
                </w14:textFill>
              </w:rPr>
              <w:t>技术要求”的普通条款（除“</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”条款以外）的响应程度</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每有一项</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普通</w:t>
            </w:r>
            <w:r>
              <w:rPr>
                <w:rFonts w:hint="default" w:ascii="Times New Roman" w:hAnsi="Times New Roman" w:eastAsia="宋体" w:cs="Times New Roman"/>
                <w:color w:val="000000" w:themeColor="text1"/>
                <w:sz w:val="21"/>
                <w:szCs w:val="21"/>
                <w:highlight w:val="none"/>
                <w14:textFill>
                  <w14:solidFill>
                    <w14:schemeClr w14:val="tx1"/>
                  </w14:solidFill>
                </w14:textFill>
              </w:rPr>
              <w:t>条款</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共130条</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负偏离扣</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0.1</w:t>
            </w:r>
            <w:r>
              <w:rPr>
                <w:rFonts w:hint="default" w:ascii="Times New Roman" w:hAnsi="Times New Roman" w:eastAsia="宋体" w:cs="Times New Roman"/>
                <w:color w:val="000000" w:themeColor="text1"/>
                <w:sz w:val="21"/>
                <w:szCs w:val="21"/>
                <w:highlight w:val="none"/>
                <w14:textFill>
                  <w14:solidFill>
                    <w14:schemeClr w14:val="tx1"/>
                  </w14:solidFill>
                </w14:textFill>
              </w:rPr>
              <w:t>分</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本项最高得</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13</w:t>
            </w:r>
            <w:r>
              <w:rPr>
                <w:rFonts w:hint="default" w:ascii="Times New Roman" w:hAnsi="Times New Roman" w:eastAsia="宋体" w:cs="Times New Roman"/>
                <w:color w:val="000000" w:themeColor="text1"/>
                <w:sz w:val="21"/>
                <w:szCs w:val="21"/>
                <w:highlight w:val="none"/>
                <w14:textFill>
                  <w14:solidFill>
                    <w14:schemeClr w14:val="tx1"/>
                  </w14:solidFill>
                </w14:textFill>
              </w:rPr>
              <w:t>分。</w:t>
            </w:r>
          </w:p>
        </w:tc>
      </w:tr>
      <w:tr w14:paraId="4849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vMerge w:val="continue"/>
            <w:vAlign w:val="center"/>
          </w:tcPr>
          <w:p w14:paraId="48E719D1">
            <w:pPr>
              <w:snapToGrid w:val="0"/>
              <w:spacing w:line="360" w:lineRule="auto"/>
              <w:jc w:val="center"/>
              <w:rPr>
                <w:rFonts w:hint="default" w:ascii="Times New Roman" w:hAnsi="Times New Roman" w:eastAsia="宋体" w:cs="Times New Roman"/>
                <w:sz w:val="21"/>
                <w:szCs w:val="21"/>
              </w:rPr>
            </w:pPr>
          </w:p>
        </w:tc>
        <w:tc>
          <w:tcPr>
            <w:tcW w:w="1161" w:type="dxa"/>
            <w:vMerge w:val="continue"/>
            <w:vAlign w:val="center"/>
          </w:tcPr>
          <w:p w14:paraId="070FE2E3">
            <w:pPr>
              <w:snapToGrid w:val="0"/>
              <w:spacing w:line="360" w:lineRule="auto"/>
              <w:jc w:val="center"/>
              <w:rPr>
                <w:rFonts w:hint="default" w:ascii="Times New Roman" w:hAnsi="Times New Roman" w:eastAsia="宋体" w:cs="Times New Roman"/>
                <w:sz w:val="21"/>
                <w:szCs w:val="21"/>
              </w:rPr>
            </w:pPr>
          </w:p>
        </w:tc>
        <w:tc>
          <w:tcPr>
            <w:tcW w:w="1139" w:type="dxa"/>
            <w:vMerge w:val="continue"/>
            <w:vAlign w:val="center"/>
          </w:tcPr>
          <w:p w14:paraId="2AC4D8DA">
            <w:pPr>
              <w:adjustRightInd w:val="0"/>
              <w:snapToGrid w:val="0"/>
              <w:spacing w:line="360" w:lineRule="auto"/>
              <w:jc w:val="center"/>
              <w:rPr>
                <w:rFonts w:hint="default" w:ascii="Times New Roman" w:hAnsi="Times New Roman" w:eastAsia="宋体" w:cs="Times New Roman"/>
                <w:sz w:val="21"/>
                <w:szCs w:val="21"/>
              </w:rPr>
            </w:pPr>
          </w:p>
        </w:tc>
        <w:tc>
          <w:tcPr>
            <w:tcW w:w="810" w:type="dxa"/>
            <w:vAlign w:val="center"/>
          </w:tcPr>
          <w:p w14:paraId="196A5A42">
            <w:pPr>
              <w:snapToGrid w:val="0"/>
              <w:spacing w:line="36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14分</w:t>
            </w:r>
          </w:p>
        </w:tc>
        <w:tc>
          <w:tcPr>
            <w:tcW w:w="6024" w:type="dxa"/>
            <w:vAlign w:val="center"/>
          </w:tcPr>
          <w:p w14:paraId="21EB08A4">
            <w:pPr>
              <w:adjustRightInd w:val="0"/>
              <w:snapToGrid w:val="0"/>
              <w:spacing w:line="360" w:lineRule="auto"/>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综合考虑投标人所投产品对第五章</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采购需求“</w:t>
            </w:r>
            <w:r>
              <w:rPr>
                <w:rFonts w:hint="default" w:ascii="Times New Roman" w:hAnsi="Times New Roman" w:eastAsia="宋体" w:cs="Times New Roman"/>
                <w:sz w:val="21"/>
                <w:szCs w:val="21"/>
                <w:highlight w:val="none"/>
                <w:lang w:val="en-US" w:eastAsia="zh-CN"/>
              </w:rPr>
              <w:t>三、</w:t>
            </w:r>
            <w:r>
              <w:rPr>
                <w:rFonts w:hint="default" w:ascii="Times New Roman" w:hAnsi="Times New Roman" w:eastAsia="宋体" w:cs="Times New Roman"/>
                <w:sz w:val="21"/>
                <w:szCs w:val="21"/>
                <w:highlight w:val="none"/>
              </w:rPr>
              <w:t>技术要求”的重要条款</w:t>
            </w:r>
            <w:r>
              <w:rPr>
                <w:rFonts w:hint="default" w:ascii="Times New Roman" w:hAnsi="Times New Roman" w:eastAsia="宋体" w:cs="Times New Roman"/>
                <w:b/>
                <w:bCs/>
                <w:sz w:val="21"/>
                <w:szCs w:val="21"/>
                <w:highlight w:val="none"/>
              </w:rPr>
              <w:t>（</w:t>
            </w:r>
            <w:r>
              <w:rPr>
                <w:rFonts w:hint="default" w:ascii="Times New Roman" w:hAnsi="Times New Roman" w:eastAsia="宋体" w:cs="Times New Roman"/>
                <w:b/>
                <w:bCs/>
                <w:sz w:val="21"/>
                <w:szCs w:val="21"/>
                <w:highlight w:val="none"/>
                <w:lang w:val="en-US" w:eastAsia="zh-CN"/>
              </w:rPr>
              <w:t>▲</w:t>
            </w:r>
            <w:r>
              <w:rPr>
                <w:rFonts w:hint="default" w:ascii="Times New Roman" w:hAnsi="Times New Roman" w:eastAsia="宋体" w:cs="Times New Roman"/>
                <w:b/>
                <w:bCs/>
                <w:sz w:val="21"/>
                <w:szCs w:val="21"/>
                <w:highlight w:val="none"/>
              </w:rPr>
              <w:t>号条款）</w:t>
            </w:r>
            <w:r>
              <w:rPr>
                <w:rFonts w:hint="default" w:ascii="Times New Roman" w:hAnsi="Times New Roman" w:eastAsia="宋体" w:cs="Times New Roman"/>
                <w:sz w:val="21"/>
                <w:szCs w:val="21"/>
                <w:highlight w:val="none"/>
              </w:rPr>
              <w:t>的响应程度</w:t>
            </w:r>
            <w:r>
              <w:rPr>
                <w:rFonts w:hint="default" w:ascii="Times New Roman" w:hAnsi="Times New Roman" w:eastAsia="宋体" w:cs="Times New Roman"/>
                <w:sz w:val="21"/>
                <w:szCs w:val="21"/>
                <w:highlight w:val="none"/>
                <w:shd w:val="clear"/>
              </w:rPr>
              <w:t>，每有一项重要条款（</w:t>
            </w:r>
            <w:r>
              <w:rPr>
                <w:rFonts w:hint="default" w:ascii="Times New Roman" w:hAnsi="Times New Roman" w:eastAsia="宋体" w:cs="Times New Roman"/>
                <w:b/>
                <w:bCs/>
                <w:sz w:val="21"/>
                <w:szCs w:val="21"/>
                <w:highlight w:val="none"/>
                <w:shd w:val="clear"/>
                <w:lang w:val="en-US" w:eastAsia="zh-CN"/>
              </w:rPr>
              <w:t>▲</w:t>
            </w:r>
            <w:r>
              <w:rPr>
                <w:rFonts w:hint="default" w:ascii="Times New Roman" w:hAnsi="Times New Roman" w:eastAsia="宋体" w:cs="Times New Roman"/>
                <w:sz w:val="21"/>
                <w:szCs w:val="21"/>
                <w:highlight w:val="none"/>
                <w:shd w:val="clear"/>
              </w:rPr>
              <w:t>号条款</w:t>
            </w:r>
            <w:r>
              <w:rPr>
                <w:rFonts w:hint="default" w:ascii="Times New Roman" w:hAnsi="Times New Roman" w:eastAsia="宋体" w:cs="Times New Roman"/>
                <w:sz w:val="21"/>
                <w:szCs w:val="21"/>
                <w:highlight w:val="none"/>
                <w:shd w:val="clear"/>
                <w:lang w:eastAsia="zh-CN"/>
              </w:rPr>
              <w:t>，</w:t>
            </w:r>
            <w:r>
              <w:rPr>
                <w:rFonts w:hint="default" w:ascii="Times New Roman" w:hAnsi="Times New Roman" w:eastAsia="宋体" w:cs="Times New Roman"/>
                <w:sz w:val="21"/>
                <w:szCs w:val="21"/>
                <w:highlight w:val="none"/>
                <w:shd w:val="clear"/>
                <w:lang w:val="en-US" w:eastAsia="zh-CN"/>
              </w:rPr>
              <w:t>共14条</w:t>
            </w:r>
            <w:r>
              <w:rPr>
                <w:rFonts w:hint="default" w:ascii="Times New Roman" w:hAnsi="Times New Roman" w:eastAsia="宋体" w:cs="Times New Roman"/>
                <w:sz w:val="21"/>
                <w:szCs w:val="21"/>
                <w:highlight w:val="none"/>
                <w:shd w:val="clear"/>
              </w:rPr>
              <w:t>）</w:t>
            </w:r>
            <w:r>
              <w:rPr>
                <w:rFonts w:hint="default" w:ascii="Times New Roman" w:hAnsi="Times New Roman" w:eastAsia="宋体" w:cs="Times New Roman"/>
                <w:sz w:val="21"/>
                <w:szCs w:val="21"/>
                <w:highlight w:val="none"/>
              </w:rPr>
              <w:t>负偏离扣</w:t>
            </w:r>
            <w:r>
              <w:rPr>
                <w:rFonts w:hint="default"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rPr>
              <w:t>分</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本项最高得</w:t>
            </w:r>
            <w:r>
              <w:rPr>
                <w:rFonts w:hint="default" w:ascii="Times New Roman" w:hAnsi="Times New Roman" w:eastAsia="宋体" w:cs="Times New Roman"/>
                <w:sz w:val="21"/>
                <w:szCs w:val="21"/>
                <w:highlight w:val="none"/>
                <w:lang w:val="en-US" w:eastAsia="zh-CN"/>
              </w:rPr>
              <w:t>14</w:t>
            </w:r>
            <w:r>
              <w:rPr>
                <w:rFonts w:hint="default" w:ascii="Times New Roman" w:hAnsi="Times New Roman" w:eastAsia="宋体" w:cs="Times New Roman"/>
                <w:sz w:val="21"/>
                <w:szCs w:val="21"/>
                <w:highlight w:val="none"/>
              </w:rPr>
              <w:t>分。</w:t>
            </w:r>
          </w:p>
        </w:tc>
      </w:tr>
      <w:tr w14:paraId="1B08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vMerge w:val="continue"/>
            <w:vAlign w:val="center"/>
          </w:tcPr>
          <w:p w14:paraId="5B40AA34">
            <w:pPr>
              <w:snapToGrid w:val="0"/>
              <w:spacing w:line="360" w:lineRule="auto"/>
              <w:jc w:val="center"/>
              <w:rPr>
                <w:rFonts w:hint="default" w:ascii="Times New Roman" w:hAnsi="Times New Roman" w:eastAsia="宋体" w:cs="Times New Roman"/>
                <w:sz w:val="21"/>
                <w:szCs w:val="21"/>
              </w:rPr>
            </w:pPr>
          </w:p>
        </w:tc>
        <w:tc>
          <w:tcPr>
            <w:tcW w:w="1161" w:type="dxa"/>
            <w:vMerge w:val="continue"/>
            <w:vAlign w:val="center"/>
          </w:tcPr>
          <w:p w14:paraId="388CB028">
            <w:pPr>
              <w:snapToGrid w:val="0"/>
              <w:spacing w:line="360" w:lineRule="auto"/>
              <w:jc w:val="center"/>
              <w:rPr>
                <w:rFonts w:hint="default" w:ascii="Times New Roman" w:hAnsi="Times New Roman" w:eastAsia="宋体" w:cs="Times New Roman"/>
                <w:sz w:val="21"/>
                <w:szCs w:val="21"/>
              </w:rPr>
            </w:pPr>
          </w:p>
        </w:tc>
        <w:tc>
          <w:tcPr>
            <w:tcW w:w="1139" w:type="dxa"/>
            <w:vMerge w:val="continue"/>
            <w:vAlign w:val="center"/>
          </w:tcPr>
          <w:p w14:paraId="499D609E">
            <w:pPr>
              <w:adjustRightInd w:val="0"/>
              <w:snapToGrid w:val="0"/>
              <w:spacing w:line="360" w:lineRule="auto"/>
              <w:jc w:val="center"/>
              <w:rPr>
                <w:rFonts w:hint="default" w:ascii="Times New Roman" w:hAnsi="Times New Roman" w:eastAsia="宋体" w:cs="Times New Roman"/>
                <w:sz w:val="21"/>
                <w:szCs w:val="21"/>
              </w:rPr>
            </w:pPr>
          </w:p>
        </w:tc>
        <w:tc>
          <w:tcPr>
            <w:tcW w:w="6834" w:type="dxa"/>
            <w:gridSpan w:val="2"/>
            <w:vAlign w:val="center"/>
          </w:tcPr>
          <w:p w14:paraId="54733071">
            <w:pPr>
              <w:spacing w:line="360" w:lineRule="auto"/>
              <w:jc w:val="left"/>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注：1.投标人需在采购需求偏离表中对技术要求的所有内容进行点对点应答，应在引用本招标</w:t>
            </w:r>
            <w:r>
              <w:rPr>
                <w:rFonts w:hint="default" w:ascii="Times New Roman" w:hAnsi="Times New Roman" w:eastAsia="宋体" w:cs="Times New Roman"/>
                <w:b/>
                <w:bCs/>
                <w:sz w:val="21"/>
                <w:szCs w:val="21"/>
                <w:highlight w:val="none"/>
              </w:rPr>
              <w:t>文件的基础上，进行逐条逐项答复、说明或解释。漏报技术条款视为</w:t>
            </w:r>
            <w:r>
              <w:rPr>
                <w:rFonts w:hint="default" w:ascii="Times New Roman" w:hAnsi="Times New Roman" w:eastAsia="宋体" w:cs="Times New Roman"/>
                <w:b/>
                <w:bCs/>
                <w:sz w:val="21"/>
                <w:szCs w:val="21"/>
                <w:highlight w:val="none"/>
                <w:lang w:val="en-US" w:eastAsia="zh-CN"/>
              </w:rPr>
              <w:t>该条</w:t>
            </w:r>
            <w:r>
              <w:rPr>
                <w:rFonts w:hint="default" w:ascii="Times New Roman" w:hAnsi="Times New Roman" w:eastAsia="宋体" w:cs="Times New Roman"/>
                <w:b/>
                <w:bCs/>
                <w:sz w:val="21"/>
                <w:szCs w:val="21"/>
                <w:highlight w:val="none"/>
              </w:rPr>
              <w:t>不满足。</w:t>
            </w:r>
          </w:p>
          <w:p w14:paraId="4F5887D7">
            <w:pPr>
              <w:adjustRightInd w:val="0"/>
              <w:snapToGrid w:val="0"/>
              <w:spacing w:line="360" w:lineRule="auto"/>
              <w:jc w:val="left"/>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kern w:val="0"/>
                <w:sz w:val="21"/>
                <w:szCs w:val="21"/>
              </w:rPr>
              <w:t xml:space="preserve">2. </w:t>
            </w:r>
            <w:r>
              <w:rPr>
                <w:rFonts w:hint="default" w:ascii="Times New Roman" w:hAnsi="Times New Roman" w:eastAsia="宋体" w:cs="Times New Roman"/>
                <w:b/>
                <w:bCs/>
                <w:kern w:val="0"/>
                <w:sz w:val="21"/>
                <w:szCs w:val="21"/>
                <w:shd w:val="clear"/>
                <w:lang w:val="en-US" w:eastAsia="zh-CN"/>
              </w:rPr>
              <w:t>所有</w:t>
            </w:r>
            <w:r>
              <w:rPr>
                <w:rFonts w:hint="default" w:ascii="Times New Roman" w:hAnsi="Times New Roman" w:eastAsia="宋体" w:cs="Times New Roman"/>
                <w:b/>
                <w:bCs/>
                <w:sz w:val="21"/>
                <w:szCs w:val="21"/>
                <w:highlight w:val="none"/>
                <w:lang w:val="en-US" w:eastAsia="zh-CN"/>
              </w:rPr>
              <w:t>▲</w:t>
            </w:r>
            <w:r>
              <w:rPr>
                <w:rFonts w:hint="default" w:ascii="Times New Roman" w:hAnsi="Times New Roman" w:eastAsia="宋体" w:cs="Times New Roman"/>
                <w:b/>
                <w:bCs/>
                <w:kern w:val="0"/>
                <w:sz w:val="21"/>
                <w:szCs w:val="21"/>
                <w:shd w:val="clear"/>
                <w:lang w:val="en-US" w:eastAsia="zh-CN"/>
              </w:rPr>
              <w:t>号条款</w:t>
            </w:r>
            <w:r>
              <w:rPr>
                <w:rFonts w:hint="default" w:ascii="Times New Roman" w:hAnsi="Times New Roman" w:eastAsia="宋体" w:cs="Times New Roman"/>
                <w:b/>
                <w:bCs/>
                <w:kern w:val="0"/>
                <w:sz w:val="21"/>
                <w:szCs w:val="21"/>
                <w:shd w:val="clear"/>
              </w:rPr>
              <w:t>内容投标人需提供相应证明材料</w:t>
            </w:r>
            <w:r>
              <w:rPr>
                <w:rFonts w:hint="default" w:ascii="Times New Roman" w:hAnsi="Times New Roman" w:eastAsia="宋体" w:cs="Times New Roman"/>
                <w:b/>
                <w:bCs/>
                <w:kern w:val="0"/>
                <w:sz w:val="21"/>
                <w:szCs w:val="21"/>
              </w:rPr>
              <w:t>（如检测报告、产品说明书</w:t>
            </w:r>
            <w:r>
              <w:rPr>
                <w:rFonts w:hint="default" w:ascii="Times New Roman" w:hAnsi="Times New Roman" w:eastAsia="宋体" w:cs="Times New Roman"/>
                <w:b/>
                <w:bCs/>
                <w:kern w:val="0"/>
                <w:sz w:val="21"/>
                <w:szCs w:val="21"/>
                <w:lang w:eastAsia="zh-CN"/>
              </w:rPr>
              <w:t>、</w:t>
            </w:r>
            <w:r>
              <w:rPr>
                <w:rFonts w:hint="default" w:ascii="Times New Roman" w:hAnsi="Times New Roman" w:eastAsia="宋体" w:cs="Times New Roman"/>
                <w:b/>
                <w:bCs/>
                <w:kern w:val="0"/>
                <w:sz w:val="21"/>
                <w:szCs w:val="21"/>
                <w:lang w:val="en-US" w:eastAsia="zh-CN"/>
              </w:rPr>
              <w:t>官网截图、官网技术说明、图片</w:t>
            </w:r>
            <w:r>
              <w:rPr>
                <w:rFonts w:hint="default" w:ascii="Times New Roman" w:hAnsi="Times New Roman" w:eastAsia="宋体" w:cs="Times New Roman"/>
                <w:b/>
                <w:bCs/>
                <w:kern w:val="0"/>
                <w:sz w:val="21"/>
                <w:szCs w:val="21"/>
              </w:rPr>
              <w:t>等证明资料</w:t>
            </w:r>
            <w:r>
              <w:rPr>
                <w:rFonts w:hint="default" w:ascii="Times New Roman" w:hAnsi="Times New Roman" w:eastAsia="宋体" w:cs="Times New Roman"/>
                <w:b/>
                <w:bCs/>
                <w:kern w:val="0"/>
                <w:sz w:val="21"/>
                <w:szCs w:val="21"/>
                <w:lang w:eastAsia="zh-CN"/>
              </w:rPr>
              <w:t>，</w:t>
            </w:r>
            <w:r>
              <w:rPr>
                <w:rFonts w:hint="default" w:ascii="Times New Roman" w:hAnsi="Times New Roman" w:eastAsia="宋体" w:cs="Times New Roman"/>
                <w:b/>
                <w:bCs/>
                <w:kern w:val="0"/>
                <w:sz w:val="21"/>
                <w:szCs w:val="21"/>
                <w:lang w:val="en-US" w:eastAsia="zh-CN"/>
              </w:rPr>
              <w:t>采购需求中有明确要求的按照采购需求要求提供</w:t>
            </w:r>
            <w:r>
              <w:rPr>
                <w:rFonts w:hint="default" w:ascii="Times New Roman" w:hAnsi="Times New Roman" w:eastAsia="宋体" w:cs="Times New Roman"/>
                <w:b/>
                <w:bCs/>
                <w:kern w:val="0"/>
                <w:sz w:val="21"/>
                <w:szCs w:val="21"/>
              </w:rPr>
              <w:t>），无证明材料或证明材料内容与投标人响应内容不一致的，视为未响应该项条款内容。</w:t>
            </w:r>
          </w:p>
        </w:tc>
      </w:tr>
      <w:tr w14:paraId="0FA2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vMerge w:val="continue"/>
            <w:vAlign w:val="center"/>
          </w:tcPr>
          <w:p w14:paraId="16C61BFD">
            <w:pPr>
              <w:snapToGrid w:val="0"/>
              <w:spacing w:line="360" w:lineRule="auto"/>
              <w:jc w:val="center"/>
              <w:rPr>
                <w:rFonts w:hint="default" w:ascii="Times New Roman" w:hAnsi="Times New Roman" w:eastAsia="宋体" w:cs="Times New Roman"/>
                <w:sz w:val="21"/>
                <w:szCs w:val="21"/>
              </w:rPr>
            </w:pPr>
          </w:p>
        </w:tc>
        <w:tc>
          <w:tcPr>
            <w:tcW w:w="1161" w:type="dxa"/>
            <w:vMerge w:val="continue"/>
            <w:vAlign w:val="center"/>
          </w:tcPr>
          <w:p w14:paraId="07B16FF7">
            <w:pPr>
              <w:snapToGrid w:val="0"/>
              <w:spacing w:line="360" w:lineRule="auto"/>
              <w:jc w:val="center"/>
              <w:rPr>
                <w:rFonts w:hint="default" w:ascii="Times New Roman" w:hAnsi="Times New Roman" w:eastAsia="宋体" w:cs="Times New Roman"/>
                <w:sz w:val="21"/>
                <w:szCs w:val="21"/>
              </w:rPr>
            </w:pPr>
          </w:p>
        </w:tc>
        <w:tc>
          <w:tcPr>
            <w:tcW w:w="1139" w:type="dxa"/>
            <w:vAlign w:val="center"/>
          </w:tcPr>
          <w:p w14:paraId="0B84E87E">
            <w:pPr>
              <w:adjustRightInd w:val="0"/>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w:t>
            </w:r>
            <w:r>
              <w:rPr>
                <w:rFonts w:hint="default" w:ascii="Times New Roman" w:hAnsi="Times New Roman" w:eastAsia="宋体" w:cs="Times New Roman"/>
                <w:sz w:val="21"/>
                <w:szCs w:val="21"/>
                <w:lang w:val="en-US" w:eastAsia="zh-CN"/>
              </w:rPr>
              <w:t>实施</w:t>
            </w:r>
            <w:r>
              <w:rPr>
                <w:rFonts w:hint="default" w:ascii="Times New Roman" w:hAnsi="Times New Roman" w:eastAsia="宋体" w:cs="Times New Roman"/>
                <w:sz w:val="21"/>
                <w:szCs w:val="21"/>
              </w:rPr>
              <w:t>方案</w:t>
            </w:r>
          </w:p>
        </w:tc>
        <w:tc>
          <w:tcPr>
            <w:tcW w:w="810" w:type="dxa"/>
            <w:vAlign w:val="center"/>
          </w:tcPr>
          <w:p w14:paraId="03010A96">
            <w:pPr>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20</w:t>
            </w:r>
            <w:r>
              <w:rPr>
                <w:rFonts w:hint="default" w:ascii="Times New Roman" w:hAnsi="Times New Roman" w:eastAsia="宋体" w:cs="Times New Roman"/>
                <w:sz w:val="21"/>
                <w:szCs w:val="21"/>
              </w:rPr>
              <w:t>分</w:t>
            </w:r>
          </w:p>
        </w:tc>
        <w:tc>
          <w:tcPr>
            <w:tcW w:w="6024" w:type="dxa"/>
            <w:vAlign w:val="center"/>
          </w:tcPr>
          <w:p w14:paraId="5A03A878">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b/>
                <w:bCs/>
                <w:sz w:val="21"/>
                <w:szCs w:val="21"/>
              </w:rPr>
              <w:t>供货时间安排</w:t>
            </w:r>
            <w:r>
              <w:rPr>
                <w:rFonts w:hint="default" w:ascii="Times New Roman" w:hAnsi="Times New Roman" w:eastAsia="宋体" w:cs="Times New Roman"/>
                <w:sz w:val="21"/>
                <w:szCs w:val="21"/>
              </w:rPr>
              <w:t>描述详细全面、科学合理、针对性强，得</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分；有描述上述内容，但缺少具体措施和细节描述，得2分；描述简单，有瑕疵或不具有针对性，得1分；未提及，得0分。</w:t>
            </w:r>
          </w:p>
          <w:p w14:paraId="16BF738A">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b/>
                <w:bCs/>
                <w:sz w:val="21"/>
                <w:szCs w:val="21"/>
              </w:rPr>
              <w:t>质量保证措施</w:t>
            </w:r>
            <w:r>
              <w:rPr>
                <w:rFonts w:hint="default" w:ascii="Times New Roman" w:hAnsi="Times New Roman" w:eastAsia="宋体" w:cs="Times New Roman"/>
                <w:sz w:val="21"/>
                <w:szCs w:val="21"/>
              </w:rPr>
              <w:t>描述详细全面、科学合理、针对性强，得</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分；有描述上述内容，但缺少具体措施和细节描述，得2分；描述简单，有瑕疵或不具有针对性，得1分；未提及，得0分。</w:t>
            </w:r>
          </w:p>
          <w:p w14:paraId="0146210E">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b/>
                <w:bCs/>
                <w:sz w:val="21"/>
                <w:szCs w:val="21"/>
              </w:rPr>
              <w:t>供货保障措施</w:t>
            </w:r>
            <w:r>
              <w:rPr>
                <w:rFonts w:hint="default" w:ascii="Times New Roman" w:hAnsi="Times New Roman" w:eastAsia="宋体" w:cs="Times New Roman"/>
                <w:sz w:val="21"/>
                <w:szCs w:val="21"/>
              </w:rPr>
              <w:t>描述详细全面、科学合理、针对性强，得</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分；有描述上述内容，但缺少具体措施和细节描述，得2分；描述简单，有瑕疵或不具有针对性，得1分；未提及，得0分。</w:t>
            </w:r>
          </w:p>
          <w:p w14:paraId="24BA53C2">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b/>
                <w:bCs/>
                <w:sz w:val="21"/>
                <w:szCs w:val="21"/>
              </w:rPr>
              <w:t>安装调试方案</w:t>
            </w:r>
            <w:r>
              <w:rPr>
                <w:rFonts w:hint="default" w:ascii="Times New Roman" w:hAnsi="Times New Roman" w:eastAsia="宋体" w:cs="Times New Roman"/>
                <w:sz w:val="21"/>
                <w:szCs w:val="21"/>
              </w:rPr>
              <w:t>描述详细全面、科学合理、针对性强，得</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分；有描述上述内容，但缺少具体措施和细节描述，得2分；描述简单，有瑕疵或不具有针对性，得1分；未提及，得0分。</w:t>
            </w:r>
          </w:p>
          <w:p w14:paraId="6222B2B1">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lang w:val="en-US" w:eastAsia="zh-CN"/>
              </w:rPr>
              <w:t>（5）供货</w:t>
            </w:r>
            <w:r>
              <w:rPr>
                <w:rFonts w:hint="default" w:ascii="Times New Roman" w:hAnsi="Times New Roman" w:eastAsia="宋体" w:cs="Times New Roman"/>
                <w:b/>
                <w:bCs/>
                <w:sz w:val="21"/>
                <w:szCs w:val="21"/>
              </w:rPr>
              <w:t>应急处理方案</w:t>
            </w:r>
            <w:r>
              <w:rPr>
                <w:rFonts w:hint="default" w:ascii="Times New Roman" w:hAnsi="Times New Roman" w:eastAsia="宋体" w:cs="Times New Roman"/>
                <w:sz w:val="21"/>
                <w:szCs w:val="21"/>
              </w:rPr>
              <w:t>描述详细全面、科学合理、针对性强，得</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分；有描述上述内容，但缺少具体措施和细节描述，得2分；描述简单，有瑕疵或不具有针对性，得1分；未提及，得0分。</w:t>
            </w:r>
          </w:p>
        </w:tc>
      </w:tr>
      <w:tr w14:paraId="092D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vMerge w:val="continue"/>
            <w:vAlign w:val="center"/>
          </w:tcPr>
          <w:p w14:paraId="1942A18D">
            <w:pPr>
              <w:snapToGrid w:val="0"/>
              <w:spacing w:line="360" w:lineRule="auto"/>
              <w:jc w:val="center"/>
              <w:rPr>
                <w:rFonts w:hint="default" w:ascii="Times New Roman" w:hAnsi="Times New Roman" w:eastAsia="宋体" w:cs="Times New Roman"/>
                <w:sz w:val="21"/>
                <w:szCs w:val="21"/>
              </w:rPr>
            </w:pPr>
          </w:p>
        </w:tc>
        <w:tc>
          <w:tcPr>
            <w:tcW w:w="1161" w:type="dxa"/>
            <w:vMerge w:val="continue"/>
            <w:vAlign w:val="center"/>
          </w:tcPr>
          <w:p w14:paraId="49771134">
            <w:pPr>
              <w:snapToGrid w:val="0"/>
              <w:spacing w:line="360" w:lineRule="auto"/>
              <w:jc w:val="center"/>
              <w:rPr>
                <w:rFonts w:hint="default" w:ascii="Times New Roman" w:hAnsi="Times New Roman" w:eastAsia="宋体" w:cs="Times New Roman"/>
                <w:sz w:val="21"/>
                <w:szCs w:val="21"/>
              </w:rPr>
            </w:pPr>
          </w:p>
        </w:tc>
        <w:tc>
          <w:tcPr>
            <w:tcW w:w="1139" w:type="dxa"/>
            <w:vAlign w:val="center"/>
          </w:tcPr>
          <w:p w14:paraId="0AABE5FA">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项目实施团队</w:t>
            </w:r>
          </w:p>
        </w:tc>
        <w:tc>
          <w:tcPr>
            <w:tcW w:w="810" w:type="dxa"/>
            <w:vAlign w:val="center"/>
          </w:tcPr>
          <w:p w14:paraId="62854981">
            <w:pPr>
              <w:spacing w:line="360" w:lineRule="auto"/>
              <w:ind w:firstLine="28"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分</w:t>
            </w:r>
          </w:p>
        </w:tc>
        <w:tc>
          <w:tcPr>
            <w:tcW w:w="6024" w:type="dxa"/>
            <w:vAlign w:val="center"/>
          </w:tcPr>
          <w:p w14:paraId="36772FA9">
            <w:pPr>
              <w:spacing w:line="360" w:lineRule="auto"/>
              <w:rPr>
                <w:rFonts w:hint="default" w:ascii="Times New Roman" w:hAnsi="Times New Roman" w:eastAsia="宋体" w:cs="Times New Roman"/>
                <w:kern w:val="0"/>
                <w:sz w:val="21"/>
                <w:szCs w:val="21"/>
              </w:rPr>
            </w:pPr>
            <w:r>
              <w:rPr>
                <w:rFonts w:hint="default" w:ascii="Times New Roman" w:hAnsi="Times New Roman" w:eastAsia="宋体" w:cs="Times New Roman"/>
                <w:bCs/>
                <w:iCs/>
                <w:sz w:val="21"/>
                <w:szCs w:val="21"/>
              </w:rPr>
              <w:t>（1）人员安排合理、配备充足，技术专业，经验丰富，分工合理，能够</w:t>
            </w:r>
            <w:r>
              <w:rPr>
                <w:rFonts w:hint="default" w:ascii="Times New Roman" w:hAnsi="Times New Roman" w:eastAsia="宋体" w:cs="Times New Roman"/>
                <w:snapToGrid w:val="0"/>
                <w:kern w:val="0"/>
                <w:sz w:val="21"/>
                <w:szCs w:val="21"/>
              </w:rPr>
              <w:t>附团队人员名单、类似项目经验说明材料</w:t>
            </w:r>
            <w:r>
              <w:rPr>
                <w:rFonts w:hint="default" w:ascii="Times New Roman" w:hAnsi="Times New Roman" w:eastAsia="宋体" w:cs="Times New Roman"/>
                <w:bCs/>
                <w:iCs/>
                <w:sz w:val="21"/>
                <w:szCs w:val="21"/>
              </w:rPr>
              <w:t>，得</w:t>
            </w:r>
            <w:r>
              <w:rPr>
                <w:rFonts w:hint="default" w:ascii="Times New Roman" w:hAnsi="Times New Roman" w:eastAsia="宋体" w:cs="Times New Roman"/>
                <w:kern w:val="0"/>
                <w:sz w:val="21"/>
                <w:szCs w:val="21"/>
                <w:lang w:val="en-US" w:eastAsia="zh-CN"/>
              </w:rPr>
              <w:t>4</w:t>
            </w:r>
            <w:r>
              <w:rPr>
                <w:rFonts w:hint="default" w:ascii="Times New Roman" w:hAnsi="Times New Roman" w:eastAsia="宋体" w:cs="Times New Roman"/>
                <w:kern w:val="0"/>
                <w:sz w:val="21"/>
                <w:szCs w:val="21"/>
              </w:rPr>
              <w:t>分；</w:t>
            </w:r>
          </w:p>
          <w:p w14:paraId="61E4830D">
            <w:pPr>
              <w:spacing w:line="360" w:lineRule="auto"/>
              <w:rPr>
                <w:rFonts w:hint="default" w:ascii="Times New Roman" w:hAnsi="Times New Roman" w:eastAsia="宋体" w:cs="Times New Roman"/>
                <w:kern w:val="0"/>
                <w:sz w:val="21"/>
                <w:szCs w:val="21"/>
              </w:rPr>
            </w:pPr>
            <w:r>
              <w:rPr>
                <w:rFonts w:hint="default" w:ascii="Times New Roman" w:hAnsi="Times New Roman" w:eastAsia="宋体" w:cs="Times New Roman"/>
                <w:bCs/>
                <w:iCs/>
                <w:sz w:val="21"/>
                <w:szCs w:val="21"/>
              </w:rPr>
              <w:t>（2）人员安排较合理、配备较充足，经验较丰富，分工较合理，能够</w:t>
            </w:r>
            <w:r>
              <w:rPr>
                <w:rFonts w:hint="default" w:ascii="Times New Roman" w:hAnsi="Times New Roman" w:eastAsia="宋体" w:cs="Times New Roman"/>
                <w:snapToGrid w:val="0"/>
                <w:kern w:val="0"/>
                <w:sz w:val="21"/>
                <w:szCs w:val="21"/>
              </w:rPr>
              <w:t>附团队人员名单、类似项目经验说明材料</w:t>
            </w:r>
            <w:r>
              <w:rPr>
                <w:rFonts w:hint="default" w:ascii="Times New Roman" w:hAnsi="Times New Roman" w:eastAsia="宋体" w:cs="Times New Roman"/>
                <w:bCs/>
                <w:iCs/>
                <w:sz w:val="21"/>
                <w:szCs w:val="21"/>
              </w:rPr>
              <w:t>，得</w:t>
            </w:r>
            <w:r>
              <w:rPr>
                <w:rFonts w:hint="default" w:ascii="Times New Roman" w:hAnsi="Times New Roman" w:eastAsia="宋体" w:cs="Times New Roman"/>
                <w:bCs/>
                <w:iCs/>
                <w:sz w:val="21"/>
                <w:szCs w:val="21"/>
                <w:lang w:val="en-US" w:eastAsia="zh-CN"/>
              </w:rPr>
              <w:t>2</w:t>
            </w:r>
            <w:r>
              <w:rPr>
                <w:rFonts w:hint="default" w:ascii="Times New Roman" w:hAnsi="Times New Roman" w:eastAsia="宋体" w:cs="Times New Roman"/>
                <w:kern w:val="0"/>
                <w:sz w:val="21"/>
                <w:szCs w:val="21"/>
              </w:rPr>
              <w:t>分；</w:t>
            </w:r>
          </w:p>
          <w:p w14:paraId="3FBE8D91">
            <w:pPr>
              <w:spacing w:line="360" w:lineRule="auto"/>
              <w:rPr>
                <w:rFonts w:hint="default" w:ascii="Times New Roman" w:hAnsi="Times New Roman" w:eastAsia="宋体" w:cs="Times New Roman"/>
                <w:kern w:val="0"/>
                <w:sz w:val="21"/>
                <w:szCs w:val="21"/>
              </w:rPr>
            </w:pPr>
            <w:r>
              <w:rPr>
                <w:rFonts w:hint="default" w:ascii="Times New Roman" w:hAnsi="Times New Roman" w:eastAsia="宋体" w:cs="Times New Roman"/>
                <w:bCs/>
                <w:iCs/>
                <w:sz w:val="21"/>
                <w:szCs w:val="21"/>
              </w:rPr>
              <w:t>（3）人员安排较合理、配备较充足，分工较合理，但专业性较弱，能够</w:t>
            </w:r>
            <w:r>
              <w:rPr>
                <w:rFonts w:hint="default" w:ascii="Times New Roman" w:hAnsi="Times New Roman" w:eastAsia="宋体" w:cs="Times New Roman"/>
                <w:snapToGrid w:val="0"/>
                <w:kern w:val="0"/>
                <w:sz w:val="21"/>
                <w:szCs w:val="21"/>
              </w:rPr>
              <w:t>附团队人员名单、类似项目经验说明</w:t>
            </w:r>
            <w:r>
              <w:rPr>
                <w:rFonts w:hint="default" w:ascii="Times New Roman" w:hAnsi="Times New Roman" w:eastAsia="宋体" w:cs="Times New Roman"/>
                <w:snapToGrid w:val="0"/>
                <w:kern w:val="0"/>
                <w:sz w:val="21"/>
                <w:szCs w:val="21"/>
                <w:lang w:val="en-US" w:eastAsia="zh-CN"/>
              </w:rPr>
              <w:t>但</w:t>
            </w:r>
            <w:r>
              <w:rPr>
                <w:rFonts w:hint="default" w:ascii="Times New Roman" w:hAnsi="Times New Roman" w:eastAsia="宋体" w:cs="Times New Roman"/>
                <w:snapToGrid w:val="0"/>
                <w:kern w:val="0"/>
                <w:sz w:val="21"/>
                <w:szCs w:val="21"/>
              </w:rPr>
              <w:t>材料有欠缺</w:t>
            </w:r>
            <w:r>
              <w:rPr>
                <w:rFonts w:hint="default" w:ascii="Times New Roman" w:hAnsi="Times New Roman" w:eastAsia="宋体" w:cs="Times New Roman"/>
                <w:bCs/>
                <w:iCs/>
                <w:sz w:val="21"/>
                <w:szCs w:val="21"/>
              </w:rPr>
              <w:t>，得</w:t>
            </w:r>
            <w:r>
              <w:rPr>
                <w:rFonts w:hint="default" w:ascii="Times New Roman" w:hAnsi="Times New Roman" w:eastAsia="宋体" w:cs="Times New Roman"/>
                <w:kern w:val="0"/>
                <w:sz w:val="21"/>
                <w:szCs w:val="21"/>
                <w:lang w:val="en-US" w:eastAsia="zh-CN"/>
              </w:rPr>
              <w:t>1</w:t>
            </w:r>
            <w:r>
              <w:rPr>
                <w:rFonts w:hint="default" w:ascii="Times New Roman" w:hAnsi="Times New Roman" w:eastAsia="宋体" w:cs="Times New Roman"/>
                <w:kern w:val="0"/>
                <w:sz w:val="21"/>
                <w:szCs w:val="21"/>
              </w:rPr>
              <w:t>分；</w:t>
            </w:r>
          </w:p>
          <w:p w14:paraId="71C2DC47">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bCs/>
                <w:iCs/>
                <w:sz w:val="21"/>
                <w:szCs w:val="21"/>
              </w:rPr>
              <w:t>（4）未提供</w:t>
            </w:r>
            <w:r>
              <w:rPr>
                <w:rFonts w:hint="default" w:ascii="Times New Roman" w:hAnsi="Times New Roman" w:eastAsia="宋体" w:cs="Times New Roman"/>
                <w:bCs/>
                <w:iCs/>
                <w:sz w:val="21"/>
                <w:szCs w:val="21"/>
                <w:lang w:val="en-US" w:eastAsia="zh-CN"/>
              </w:rPr>
              <w:t>任何内容</w:t>
            </w:r>
            <w:r>
              <w:rPr>
                <w:rFonts w:hint="default" w:ascii="Times New Roman" w:hAnsi="Times New Roman" w:eastAsia="宋体" w:cs="Times New Roman"/>
                <w:bCs/>
                <w:iCs/>
                <w:sz w:val="21"/>
                <w:szCs w:val="21"/>
              </w:rPr>
              <w:t>，得0分。</w:t>
            </w:r>
          </w:p>
        </w:tc>
      </w:tr>
      <w:tr w14:paraId="1A22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vMerge w:val="continue"/>
            <w:vAlign w:val="center"/>
          </w:tcPr>
          <w:p w14:paraId="08BB5D61">
            <w:pPr>
              <w:snapToGrid w:val="0"/>
              <w:spacing w:line="360" w:lineRule="auto"/>
              <w:jc w:val="center"/>
              <w:rPr>
                <w:rFonts w:hint="default" w:ascii="Times New Roman" w:hAnsi="Times New Roman" w:eastAsia="宋体" w:cs="Times New Roman"/>
                <w:sz w:val="21"/>
                <w:szCs w:val="21"/>
              </w:rPr>
            </w:pPr>
          </w:p>
        </w:tc>
        <w:tc>
          <w:tcPr>
            <w:tcW w:w="1161" w:type="dxa"/>
            <w:vMerge w:val="continue"/>
            <w:vAlign w:val="center"/>
          </w:tcPr>
          <w:p w14:paraId="235F7408">
            <w:pPr>
              <w:snapToGrid w:val="0"/>
              <w:spacing w:line="360" w:lineRule="auto"/>
              <w:jc w:val="center"/>
              <w:rPr>
                <w:rFonts w:hint="default" w:ascii="Times New Roman" w:hAnsi="Times New Roman" w:eastAsia="宋体" w:cs="Times New Roman"/>
                <w:sz w:val="21"/>
                <w:szCs w:val="21"/>
              </w:rPr>
            </w:pPr>
          </w:p>
        </w:tc>
        <w:tc>
          <w:tcPr>
            <w:tcW w:w="1139" w:type="dxa"/>
            <w:vAlign w:val="center"/>
          </w:tcPr>
          <w:p w14:paraId="77BBD023">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应急处置方案</w:t>
            </w:r>
          </w:p>
        </w:tc>
        <w:tc>
          <w:tcPr>
            <w:tcW w:w="810" w:type="dxa"/>
            <w:vAlign w:val="center"/>
          </w:tcPr>
          <w:p w14:paraId="292CDE09">
            <w:pPr>
              <w:spacing w:line="36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4分</w:t>
            </w:r>
          </w:p>
        </w:tc>
        <w:tc>
          <w:tcPr>
            <w:tcW w:w="6024" w:type="dxa"/>
            <w:vAlign w:val="center"/>
          </w:tcPr>
          <w:p w14:paraId="71085B3E">
            <w:pPr>
              <w:spacing w:line="360" w:lineRule="auto"/>
              <w:rPr>
                <w:rFonts w:hint="default" w:ascii="Times New Roman" w:hAnsi="Times New Roman" w:eastAsia="宋体" w:cs="Times New Roman"/>
                <w:bCs/>
                <w:iCs/>
                <w:sz w:val="21"/>
                <w:szCs w:val="21"/>
                <w:lang w:eastAsia="zh-CN"/>
              </w:rPr>
            </w:pPr>
            <w:r>
              <w:rPr>
                <w:rFonts w:hint="default" w:ascii="Times New Roman" w:hAnsi="Times New Roman" w:eastAsia="宋体" w:cs="Times New Roman"/>
                <w:bCs/>
                <w:iCs/>
                <w:sz w:val="21"/>
                <w:szCs w:val="21"/>
                <w:lang w:eastAsia="zh-CN"/>
              </w:rPr>
              <w:t>（</w:t>
            </w:r>
            <w:r>
              <w:rPr>
                <w:rFonts w:hint="default" w:ascii="Times New Roman" w:hAnsi="Times New Roman" w:eastAsia="宋体" w:cs="Times New Roman"/>
                <w:bCs/>
                <w:iCs/>
                <w:sz w:val="21"/>
                <w:szCs w:val="21"/>
                <w:lang w:val="en-US" w:eastAsia="zh-CN"/>
              </w:rPr>
              <w:t>1</w:t>
            </w:r>
            <w:r>
              <w:rPr>
                <w:rFonts w:hint="default" w:ascii="Times New Roman" w:hAnsi="Times New Roman" w:eastAsia="宋体" w:cs="Times New Roman"/>
                <w:bCs/>
                <w:iCs/>
                <w:sz w:val="21"/>
                <w:szCs w:val="21"/>
                <w:lang w:eastAsia="zh-CN"/>
              </w:rPr>
              <w:t>）全面且描述具体，包括但不限于应急处置团队、成员职责分工、应急处置流程等内容，具有针对性，得</w:t>
            </w:r>
            <w:r>
              <w:rPr>
                <w:rFonts w:hint="default" w:ascii="Times New Roman" w:hAnsi="Times New Roman" w:eastAsia="宋体" w:cs="Times New Roman"/>
                <w:bCs/>
                <w:iCs/>
                <w:sz w:val="21"/>
                <w:szCs w:val="21"/>
                <w:lang w:val="en-US" w:eastAsia="zh-CN"/>
              </w:rPr>
              <w:t>4</w:t>
            </w:r>
            <w:r>
              <w:rPr>
                <w:rFonts w:hint="default" w:ascii="Times New Roman" w:hAnsi="Times New Roman" w:eastAsia="宋体" w:cs="Times New Roman"/>
                <w:bCs/>
                <w:iCs/>
                <w:sz w:val="21"/>
                <w:szCs w:val="21"/>
                <w:lang w:eastAsia="zh-CN"/>
              </w:rPr>
              <w:t>分；</w:t>
            </w:r>
          </w:p>
          <w:p w14:paraId="5267A266">
            <w:pPr>
              <w:spacing w:line="360" w:lineRule="auto"/>
              <w:rPr>
                <w:rFonts w:hint="default" w:ascii="Times New Roman" w:hAnsi="Times New Roman" w:eastAsia="宋体" w:cs="Times New Roman"/>
                <w:bCs/>
                <w:iCs/>
                <w:sz w:val="21"/>
                <w:szCs w:val="21"/>
                <w:lang w:eastAsia="zh-CN"/>
              </w:rPr>
            </w:pPr>
            <w:r>
              <w:rPr>
                <w:rFonts w:hint="default" w:ascii="Times New Roman" w:hAnsi="Times New Roman" w:eastAsia="宋体" w:cs="Times New Roman"/>
                <w:bCs/>
                <w:iCs/>
                <w:sz w:val="21"/>
                <w:szCs w:val="21"/>
                <w:lang w:eastAsia="zh-CN"/>
              </w:rPr>
              <w:t>（</w:t>
            </w:r>
            <w:r>
              <w:rPr>
                <w:rFonts w:hint="default" w:ascii="Times New Roman" w:hAnsi="Times New Roman" w:eastAsia="宋体" w:cs="Times New Roman"/>
                <w:bCs/>
                <w:iCs/>
                <w:sz w:val="21"/>
                <w:szCs w:val="21"/>
                <w:lang w:val="en-US" w:eastAsia="zh-CN"/>
              </w:rPr>
              <w:t>2</w:t>
            </w:r>
            <w:r>
              <w:rPr>
                <w:rFonts w:hint="default" w:ascii="Times New Roman" w:hAnsi="Times New Roman" w:eastAsia="宋体" w:cs="Times New Roman"/>
                <w:bCs/>
                <w:iCs/>
                <w:sz w:val="21"/>
                <w:szCs w:val="21"/>
                <w:lang w:eastAsia="zh-CN"/>
              </w:rPr>
              <w:t>）有一定的描述，具有一定的针对性，但细致度不够，得</w:t>
            </w:r>
            <w:r>
              <w:rPr>
                <w:rFonts w:hint="default" w:ascii="Times New Roman" w:hAnsi="Times New Roman" w:eastAsia="宋体" w:cs="Times New Roman"/>
                <w:bCs/>
                <w:iCs/>
                <w:sz w:val="21"/>
                <w:szCs w:val="21"/>
                <w:lang w:val="en-US" w:eastAsia="zh-CN"/>
              </w:rPr>
              <w:t>2</w:t>
            </w:r>
            <w:r>
              <w:rPr>
                <w:rFonts w:hint="default" w:ascii="Times New Roman" w:hAnsi="Times New Roman" w:eastAsia="宋体" w:cs="Times New Roman"/>
                <w:bCs/>
                <w:iCs/>
                <w:sz w:val="21"/>
                <w:szCs w:val="21"/>
                <w:lang w:eastAsia="zh-CN"/>
              </w:rPr>
              <w:t>分；</w:t>
            </w:r>
          </w:p>
          <w:p w14:paraId="11F15948">
            <w:pPr>
              <w:spacing w:line="360" w:lineRule="auto"/>
              <w:rPr>
                <w:rFonts w:hint="default" w:ascii="Times New Roman" w:hAnsi="Times New Roman" w:eastAsia="宋体" w:cs="Times New Roman"/>
                <w:bCs/>
                <w:iCs/>
                <w:sz w:val="21"/>
                <w:szCs w:val="21"/>
                <w:lang w:eastAsia="zh-CN"/>
              </w:rPr>
            </w:pPr>
            <w:r>
              <w:rPr>
                <w:rFonts w:hint="default" w:ascii="Times New Roman" w:hAnsi="Times New Roman" w:eastAsia="宋体" w:cs="Times New Roman"/>
                <w:bCs/>
                <w:iCs/>
                <w:sz w:val="21"/>
                <w:szCs w:val="21"/>
                <w:lang w:eastAsia="zh-CN"/>
              </w:rPr>
              <w:t>（</w:t>
            </w:r>
            <w:r>
              <w:rPr>
                <w:rFonts w:hint="default" w:ascii="Times New Roman" w:hAnsi="Times New Roman" w:eastAsia="宋体" w:cs="Times New Roman"/>
                <w:bCs/>
                <w:iCs/>
                <w:sz w:val="21"/>
                <w:szCs w:val="21"/>
                <w:lang w:val="en-US" w:eastAsia="zh-CN"/>
              </w:rPr>
              <w:t>3</w:t>
            </w:r>
            <w:r>
              <w:rPr>
                <w:rFonts w:hint="default" w:ascii="Times New Roman" w:hAnsi="Times New Roman" w:eastAsia="宋体" w:cs="Times New Roman"/>
                <w:bCs/>
                <w:iCs/>
                <w:sz w:val="21"/>
                <w:szCs w:val="21"/>
                <w:lang w:eastAsia="zh-CN"/>
              </w:rPr>
              <w:t>）有一定的描述，但内容缺失较多或针对性不强，得</w:t>
            </w:r>
            <w:r>
              <w:rPr>
                <w:rFonts w:hint="default" w:ascii="Times New Roman" w:hAnsi="Times New Roman" w:eastAsia="宋体" w:cs="Times New Roman"/>
                <w:bCs/>
                <w:iCs/>
                <w:sz w:val="21"/>
                <w:szCs w:val="21"/>
                <w:lang w:val="en-US" w:eastAsia="zh-CN"/>
              </w:rPr>
              <w:t>1</w:t>
            </w:r>
            <w:r>
              <w:rPr>
                <w:rFonts w:hint="default" w:ascii="Times New Roman" w:hAnsi="Times New Roman" w:eastAsia="宋体" w:cs="Times New Roman"/>
                <w:bCs/>
                <w:iCs/>
                <w:sz w:val="21"/>
                <w:szCs w:val="21"/>
                <w:lang w:eastAsia="zh-CN"/>
              </w:rPr>
              <w:t>分；</w:t>
            </w:r>
          </w:p>
          <w:p w14:paraId="6487BB03">
            <w:pPr>
              <w:spacing w:line="360" w:lineRule="auto"/>
              <w:rPr>
                <w:rFonts w:hint="default" w:ascii="Times New Roman" w:hAnsi="Times New Roman" w:eastAsia="宋体" w:cs="Times New Roman"/>
                <w:bCs/>
                <w:iCs/>
                <w:sz w:val="21"/>
                <w:szCs w:val="21"/>
                <w:lang w:eastAsia="zh-CN"/>
              </w:rPr>
            </w:pPr>
            <w:r>
              <w:rPr>
                <w:rFonts w:hint="default" w:ascii="Times New Roman" w:hAnsi="Times New Roman" w:eastAsia="宋体" w:cs="Times New Roman"/>
                <w:bCs/>
                <w:iCs/>
                <w:sz w:val="21"/>
                <w:szCs w:val="21"/>
                <w:lang w:eastAsia="zh-CN"/>
              </w:rPr>
              <w:t>（</w:t>
            </w:r>
            <w:r>
              <w:rPr>
                <w:rFonts w:hint="default" w:ascii="Times New Roman" w:hAnsi="Times New Roman" w:eastAsia="宋体" w:cs="Times New Roman"/>
                <w:bCs/>
                <w:iCs/>
                <w:sz w:val="21"/>
                <w:szCs w:val="21"/>
                <w:lang w:val="en-US" w:eastAsia="zh-CN"/>
              </w:rPr>
              <w:t>4</w:t>
            </w:r>
            <w:r>
              <w:rPr>
                <w:rFonts w:hint="default" w:ascii="Times New Roman" w:hAnsi="Times New Roman" w:eastAsia="宋体" w:cs="Times New Roman"/>
                <w:bCs/>
                <w:iCs/>
                <w:sz w:val="21"/>
                <w:szCs w:val="21"/>
                <w:lang w:eastAsia="zh-CN"/>
              </w:rPr>
              <w:t>）完全未描述或完全不具有针对性，得0分。</w:t>
            </w:r>
          </w:p>
        </w:tc>
      </w:tr>
      <w:tr w14:paraId="2F23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vMerge w:val="continue"/>
            <w:vAlign w:val="center"/>
          </w:tcPr>
          <w:p w14:paraId="7EFD0568">
            <w:pPr>
              <w:snapToGrid w:val="0"/>
              <w:spacing w:line="360" w:lineRule="auto"/>
              <w:jc w:val="center"/>
              <w:rPr>
                <w:rFonts w:hint="default" w:ascii="Times New Roman" w:hAnsi="Times New Roman" w:eastAsia="宋体" w:cs="Times New Roman"/>
                <w:sz w:val="21"/>
                <w:szCs w:val="21"/>
              </w:rPr>
            </w:pPr>
          </w:p>
        </w:tc>
        <w:tc>
          <w:tcPr>
            <w:tcW w:w="1161" w:type="dxa"/>
            <w:vMerge w:val="continue"/>
            <w:vAlign w:val="center"/>
          </w:tcPr>
          <w:p w14:paraId="456ACBF4">
            <w:pPr>
              <w:snapToGrid w:val="0"/>
              <w:spacing w:line="360" w:lineRule="auto"/>
              <w:jc w:val="center"/>
              <w:rPr>
                <w:rFonts w:hint="default" w:ascii="Times New Roman" w:hAnsi="Times New Roman" w:eastAsia="宋体" w:cs="Times New Roman"/>
                <w:sz w:val="21"/>
                <w:szCs w:val="21"/>
              </w:rPr>
            </w:pPr>
          </w:p>
        </w:tc>
        <w:tc>
          <w:tcPr>
            <w:tcW w:w="1139" w:type="dxa"/>
            <w:vAlign w:val="center"/>
          </w:tcPr>
          <w:p w14:paraId="3D7C44E5">
            <w:pPr>
              <w:spacing w:line="36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售后服务方案</w:t>
            </w:r>
            <w:r>
              <w:rPr>
                <w:rFonts w:hint="default" w:ascii="Times New Roman" w:hAnsi="Times New Roman" w:eastAsia="宋体" w:cs="Times New Roman"/>
                <w:sz w:val="21"/>
                <w:szCs w:val="21"/>
                <w:lang w:val="en-US" w:eastAsia="zh-CN"/>
              </w:rPr>
              <w:t>及服务响应</w:t>
            </w:r>
          </w:p>
        </w:tc>
        <w:tc>
          <w:tcPr>
            <w:tcW w:w="810" w:type="dxa"/>
            <w:vAlign w:val="center"/>
          </w:tcPr>
          <w:p w14:paraId="330FE604">
            <w:pPr>
              <w:spacing w:line="36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4</w:t>
            </w:r>
            <w:r>
              <w:rPr>
                <w:rFonts w:hint="default" w:ascii="Times New Roman" w:hAnsi="Times New Roman" w:eastAsia="宋体" w:cs="Times New Roman"/>
                <w:sz w:val="21"/>
                <w:szCs w:val="21"/>
                <w:highlight w:val="none"/>
              </w:rPr>
              <w:t>分</w:t>
            </w:r>
          </w:p>
        </w:tc>
        <w:tc>
          <w:tcPr>
            <w:tcW w:w="6024" w:type="dxa"/>
            <w:vAlign w:val="center"/>
          </w:tcPr>
          <w:p w14:paraId="2C319CBF">
            <w:pPr>
              <w:spacing w:line="360"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综合考虑</w:t>
            </w:r>
            <w:r>
              <w:rPr>
                <w:rFonts w:hint="default" w:ascii="Times New Roman" w:hAnsi="Times New Roman" w:eastAsia="宋体" w:cs="Times New Roman"/>
                <w:sz w:val="21"/>
                <w:szCs w:val="21"/>
              </w:rPr>
              <w:t>投标人针对本项目提供的售后服务</w:t>
            </w:r>
            <w:r>
              <w:rPr>
                <w:rFonts w:hint="default" w:ascii="Times New Roman" w:hAnsi="Times New Roman" w:eastAsia="宋体" w:cs="Times New Roman"/>
                <w:sz w:val="21"/>
                <w:szCs w:val="21"/>
                <w:lang w:val="en-US" w:eastAsia="zh-CN"/>
              </w:rPr>
              <w:t>方案及服务响应内容。</w:t>
            </w:r>
          </w:p>
          <w:p w14:paraId="3A714FCE">
            <w:pPr>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方案内容详细具体、可行</w:t>
            </w:r>
            <w:r>
              <w:rPr>
                <w:rFonts w:hint="default" w:ascii="Times New Roman" w:hAnsi="Times New Roman" w:eastAsia="宋体" w:cs="Times New Roman"/>
                <w:sz w:val="21"/>
                <w:szCs w:val="21"/>
                <w:lang w:val="en-US" w:eastAsia="zh-CN"/>
              </w:rPr>
              <w:t>性强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针对性</w:t>
            </w:r>
            <w:r>
              <w:rPr>
                <w:rFonts w:hint="default" w:ascii="Times New Roman" w:hAnsi="Times New Roman" w:eastAsia="宋体" w:cs="Times New Roman"/>
                <w:sz w:val="21"/>
                <w:szCs w:val="21"/>
                <w:lang w:val="en-US" w:eastAsia="zh-CN"/>
              </w:rPr>
              <w:t>强</w:t>
            </w:r>
            <w:r>
              <w:rPr>
                <w:rFonts w:hint="default" w:ascii="Times New Roman" w:hAnsi="Times New Roman" w:eastAsia="宋体" w:cs="Times New Roman"/>
                <w:sz w:val="21"/>
                <w:szCs w:val="21"/>
              </w:rPr>
              <w:t>，质保期内能够</w:t>
            </w:r>
            <w:r>
              <w:rPr>
                <w:rFonts w:hint="default" w:ascii="Times New Roman" w:hAnsi="Times New Roman" w:eastAsia="宋体" w:cs="Times New Roman"/>
                <w:sz w:val="21"/>
                <w:szCs w:val="21"/>
                <w:lang w:val="en-US" w:eastAsia="zh-CN"/>
              </w:rPr>
              <w:t>完全</w:t>
            </w:r>
            <w:r>
              <w:rPr>
                <w:rFonts w:hint="default" w:ascii="Times New Roman" w:hAnsi="Times New Roman" w:eastAsia="宋体" w:cs="Times New Roman"/>
                <w:sz w:val="21"/>
                <w:szCs w:val="21"/>
              </w:rPr>
              <w:t>按照采购人的要求进行维修保养，</w:t>
            </w:r>
            <w:r>
              <w:rPr>
                <w:rFonts w:hint="default" w:ascii="Times New Roman" w:hAnsi="Times New Roman" w:eastAsia="宋体" w:cs="Times New Roman"/>
                <w:sz w:val="21"/>
                <w:szCs w:val="21"/>
                <w:lang w:val="en-US" w:eastAsia="zh-CN"/>
              </w:rPr>
              <w:t>服务</w:t>
            </w:r>
            <w:r>
              <w:rPr>
                <w:rFonts w:hint="default" w:ascii="Times New Roman" w:hAnsi="Times New Roman" w:eastAsia="宋体" w:cs="Times New Roman"/>
                <w:sz w:val="21"/>
                <w:szCs w:val="21"/>
                <w:highlight w:val="none"/>
              </w:rPr>
              <w:t>响应时间、反应速度及时，优于采购需求的，</w:t>
            </w:r>
            <w:r>
              <w:rPr>
                <w:rFonts w:hint="default" w:ascii="Times New Roman" w:hAnsi="Times New Roman" w:eastAsia="宋体" w:cs="Times New Roman"/>
                <w:sz w:val="21"/>
                <w:szCs w:val="21"/>
              </w:rPr>
              <w:t>得</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分；</w:t>
            </w:r>
          </w:p>
          <w:p w14:paraId="0F24649F">
            <w:pPr>
              <w:spacing w:line="360" w:lineRule="auto"/>
              <w:ind w:firstLine="28"/>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方案内容描述较为具体、可行性和针对性</w:t>
            </w:r>
            <w:r>
              <w:rPr>
                <w:rFonts w:hint="default" w:ascii="Times New Roman" w:hAnsi="Times New Roman" w:eastAsia="宋体" w:cs="Times New Roman"/>
                <w:sz w:val="21"/>
                <w:szCs w:val="21"/>
                <w:lang w:val="en-US" w:eastAsia="zh-CN"/>
              </w:rPr>
              <w:t>较强</w:t>
            </w:r>
            <w:r>
              <w:rPr>
                <w:rFonts w:hint="default" w:ascii="Times New Roman" w:hAnsi="Times New Roman" w:eastAsia="宋体" w:cs="Times New Roman"/>
                <w:sz w:val="21"/>
                <w:szCs w:val="21"/>
              </w:rPr>
              <w:t>，质保期内</w:t>
            </w:r>
            <w:r>
              <w:rPr>
                <w:rFonts w:hint="default" w:ascii="Times New Roman" w:hAnsi="Times New Roman" w:eastAsia="宋体" w:cs="Times New Roman"/>
                <w:sz w:val="21"/>
                <w:szCs w:val="21"/>
                <w:lang w:val="en-US" w:eastAsia="zh-CN"/>
              </w:rPr>
              <w:t>基本</w:t>
            </w:r>
            <w:r>
              <w:rPr>
                <w:rFonts w:hint="default" w:ascii="Times New Roman" w:hAnsi="Times New Roman" w:eastAsia="宋体" w:cs="Times New Roman"/>
                <w:sz w:val="21"/>
                <w:szCs w:val="21"/>
              </w:rPr>
              <w:t>能够按照采购人的要求进行维修保养，</w:t>
            </w:r>
            <w:r>
              <w:rPr>
                <w:rFonts w:hint="default" w:ascii="Times New Roman" w:hAnsi="Times New Roman" w:eastAsia="宋体" w:cs="Times New Roman"/>
                <w:sz w:val="21"/>
                <w:szCs w:val="21"/>
                <w:lang w:val="en-US" w:eastAsia="zh-CN"/>
              </w:rPr>
              <w:t>服务</w:t>
            </w:r>
            <w:r>
              <w:rPr>
                <w:rFonts w:hint="default" w:ascii="Times New Roman" w:hAnsi="Times New Roman" w:eastAsia="宋体" w:cs="Times New Roman"/>
                <w:sz w:val="21"/>
                <w:szCs w:val="21"/>
                <w:highlight w:val="none"/>
              </w:rPr>
              <w:t>响应时间、反应速度较及时，完全满足采购需求的，</w:t>
            </w:r>
            <w:r>
              <w:rPr>
                <w:rFonts w:hint="default" w:ascii="Times New Roman" w:hAnsi="Times New Roman" w:eastAsia="宋体" w:cs="Times New Roman"/>
                <w:sz w:val="21"/>
                <w:szCs w:val="21"/>
              </w:rPr>
              <w:t>得</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分；</w:t>
            </w:r>
          </w:p>
          <w:p w14:paraId="7D182400">
            <w:pPr>
              <w:spacing w:line="360" w:lineRule="auto"/>
              <w:ind w:firstLine="28"/>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方案内容描述简单</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可行性和针对性</w:t>
            </w:r>
            <w:r>
              <w:rPr>
                <w:rFonts w:hint="default" w:ascii="Times New Roman" w:hAnsi="Times New Roman" w:eastAsia="宋体" w:cs="Times New Roman"/>
                <w:sz w:val="21"/>
                <w:szCs w:val="21"/>
                <w:lang w:val="en-US" w:eastAsia="zh-CN"/>
              </w:rPr>
              <w:t>一般</w:t>
            </w:r>
            <w:r>
              <w:rPr>
                <w:rFonts w:hint="default" w:ascii="Times New Roman" w:hAnsi="Times New Roman" w:eastAsia="宋体" w:cs="Times New Roman"/>
                <w:sz w:val="21"/>
                <w:szCs w:val="21"/>
              </w:rPr>
              <w:t>，针对质保期内有一定的维修保养方案，</w:t>
            </w:r>
            <w:r>
              <w:rPr>
                <w:rFonts w:hint="default" w:ascii="Times New Roman" w:hAnsi="Times New Roman" w:eastAsia="宋体" w:cs="Times New Roman"/>
                <w:sz w:val="21"/>
                <w:szCs w:val="21"/>
                <w:highlight w:val="none"/>
              </w:rPr>
              <w:t>响应时间、反应速度欠佳，但基本满足采购需求的，</w:t>
            </w:r>
            <w:r>
              <w:rPr>
                <w:rFonts w:hint="default" w:ascii="Times New Roman" w:hAnsi="Times New Roman" w:eastAsia="宋体" w:cs="Times New Roman"/>
                <w:sz w:val="21"/>
                <w:szCs w:val="21"/>
              </w:rPr>
              <w:t>得</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分；</w:t>
            </w:r>
          </w:p>
          <w:p w14:paraId="706C66EC">
            <w:pPr>
              <w:adjustRightInd w:val="0"/>
              <w:snapToGrid w:val="0"/>
              <w:spacing w:line="360" w:lineRule="auto"/>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highlight w:val="none"/>
              </w:rPr>
              <w:t>方案</w:t>
            </w:r>
            <w:r>
              <w:rPr>
                <w:rFonts w:hint="default" w:ascii="Times New Roman" w:hAnsi="Times New Roman" w:eastAsia="宋体" w:cs="Times New Roman"/>
                <w:sz w:val="21"/>
                <w:szCs w:val="21"/>
                <w:highlight w:val="none"/>
                <w:lang w:val="en-US" w:eastAsia="zh-CN"/>
              </w:rPr>
              <w:t>内容有</w:t>
            </w:r>
            <w:r>
              <w:rPr>
                <w:rFonts w:hint="default" w:ascii="Times New Roman" w:hAnsi="Times New Roman" w:eastAsia="宋体" w:cs="Times New Roman"/>
                <w:sz w:val="21"/>
                <w:szCs w:val="21"/>
                <w:highlight w:val="none"/>
              </w:rPr>
              <w:t>欠缺、</w:t>
            </w:r>
            <w:r>
              <w:rPr>
                <w:rFonts w:hint="default" w:ascii="Times New Roman" w:hAnsi="Times New Roman" w:eastAsia="宋体" w:cs="Times New Roman"/>
                <w:sz w:val="21"/>
                <w:szCs w:val="21"/>
              </w:rPr>
              <w:t>可行性和针对性</w:t>
            </w:r>
            <w:r>
              <w:rPr>
                <w:rFonts w:hint="default" w:ascii="Times New Roman" w:hAnsi="Times New Roman" w:eastAsia="宋体" w:cs="Times New Roman"/>
                <w:sz w:val="21"/>
                <w:szCs w:val="21"/>
                <w:lang w:val="en-US" w:eastAsia="zh-CN"/>
              </w:rPr>
              <w:t>较弱</w:t>
            </w:r>
            <w:r>
              <w:rPr>
                <w:rFonts w:hint="default" w:ascii="Times New Roman" w:hAnsi="Times New Roman" w:eastAsia="宋体" w:cs="Times New Roman"/>
                <w:sz w:val="21"/>
                <w:szCs w:val="21"/>
                <w:highlight w:val="none"/>
              </w:rPr>
              <w:t>，响应时间、反应速度迟缓，不能完全满足采购需求的，</w:t>
            </w:r>
            <w:r>
              <w:rPr>
                <w:rFonts w:hint="default" w:ascii="Times New Roman" w:hAnsi="Times New Roman" w:eastAsia="宋体" w:cs="Times New Roman"/>
                <w:sz w:val="21"/>
                <w:szCs w:val="21"/>
                <w:lang w:val="en-US" w:eastAsia="zh-CN"/>
              </w:rPr>
              <w:t>或</w:t>
            </w:r>
            <w:r>
              <w:rPr>
                <w:rFonts w:hint="default" w:ascii="Times New Roman" w:hAnsi="Times New Roman" w:eastAsia="宋体" w:cs="Times New Roman"/>
                <w:bCs/>
                <w:iCs/>
                <w:sz w:val="21"/>
                <w:szCs w:val="21"/>
              </w:rPr>
              <w:t>未提供</w:t>
            </w:r>
            <w:r>
              <w:rPr>
                <w:rFonts w:hint="default" w:ascii="Times New Roman" w:hAnsi="Times New Roman" w:eastAsia="宋体" w:cs="Times New Roman"/>
                <w:bCs/>
                <w:iCs/>
                <w:sz w:val="21"/>
                <w:szCs w:val="21"/>
                <w:lang w:val="en-US" w:eastAsia="zh-CN"/>
              </w:rPr>
              <w:t>任何内容</w:t>
            </w:r>
            <w:r>
              <w:rPr>
                <w:rFonts w:hint="default" w:ascii="Times New Roman" w:hAnsi="Times New Roman" w:eastAsia="宋体" w:cs="Times New Roman"/>
                <w:bCs/>
                <w:iCs/>
                <w:sz w:val="21"/>
                <w:szCs w:val="21"/>
              </w:rPr>
              <w:t>，得0分。</w:t>
            </w:r>
          </w:p>
        </w:tc>
      </w:tr>
      <w:tr w14:paraId="45BF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70" w:type="dxa"/>
            <w:vAlign w:val="center"/>
          </w:tcPr>
          <w:p w14:paraId="122BB2D4">
            <w:pPr>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161" w:type="dxa"/>
            <w:vAlign w:val="center"/>
          </w:tcPr>
          <w:p w14:paraId="4D0D76C3">
            <w:pPr>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投标报价</w:t>
            </w:r>
          </w:p>
          <w:p w14:paraId="459EE748">
            <w:pPr>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（30分）</w:t>
            </w:r>
          </w:p>
        </w:tc>
        <w:tc>
          <w:tcPr>
            <w:tcW w:w="7973" w:type="dxa"/>
            <w:gridSpan w:val="3"/>
            <w:vAlign w:val="center"/>
          </w:tcPr>
          <w:p w14:paraId="7F984D4E">
            <w:pPr>
              <w:snapToGrid w:val="0"/>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满足招标文件要求且投标价格最低的投标报价为评标基准价，其价格分为满分。其他投标人的价格分统一按照下列公式计算：</w:t>
            </w:r>
          </w:p>
          <w:p w14:paraId="4724A9C4">
            <w:pPr>
              <w:snapToGrid w:val="0"/>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投标报价得分＝（评标基准价/投标报价）×30。</w:t>
            </w:r>
          </w:p>
          <w:p w14:paraId="1D7C5D9D">
            <w:pPr>
              <w:snapToGrid w:val="0"/>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注：此处投标报价指经过报价修正，及因落实政府采购政策进行价格调整后的报价，详见第四章《评标方法和评标标准》2.4及2.5。</w:t>
            </w:r>
          </w:p>
        </w:tc>
      </w:tr>
      <w:tr w14:paraId="559C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vAlign w:val="center"/>
          </w:tcPr>
          <w:p w14:paraId="2E890BAC">
            <w:pPr>
              <w:snapToGrid w:val="0"/>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161" w:type="dxa"/>
            <w:vAlign w:val="center"/>
          </w:tcPr>
          <w:p w14:paraId="31C0C0AD">
            <w:pPr>
              <w:widowControl/>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非强制采购节能产品及环保标志产品（1分）</w:t>
            </w:r>
          </w:p>
        </w:tc>
        <w:tc>
          <w:tcPr>
            <w:tcW w:w="7973" w:type="dxa"/>
            <w:gridSpan w:val="3"/>
            <w:vAlign w:val="center"/>
          </w:tcPr>
          <w:p w14:paraId="7B0697A0">
            <w:pPr>
              <w:snapToGrid w:val="0"/>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投标人所投产品属于节能产品政府采购品目清单中非强制采购品目产品的，得0.5分，不属于的不得分。须附相应证明材料。</w:t>
            </w:r>
          </w:p>
          <w:p w14:paraId="0A80ECE3">
            <w:pPr>
              <w:snapToGrid w:val="0"/>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投标人所投产品属于环境标志产品政府采购品目清单中品目产品的，得0.5分，不属于的不得分。须附相应证明材料。</w:t>
            </w:r>
          </w:p>
        </w:tc>
      </w:tr>
      <w:tr w14:paraId="37D7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04" w:type="dxa"/>
            <w:gridSpan w:val="5"/>
            <w:vAlign w:val="center"/>
          </w:tcPr>
          <w:p w14:paraId="5F2A95D1">
            <w:pPr>
              <w:snapToGrid w:val="0"/>
              <w:spacing w:line="360" w:lineRule="auto"/>
              <w:ind w:left="71" w:leftChars="34" w:firstLine="1"/>
              <w:jc w:val="center"/>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合计100分</w:t>
            </w:r>
          </w:p>
        </w:tc>
      </w:tr>
    </w:tbl>
    <w:p w14:paraId="045F1E44">
      <w:pPr>
        <w:adjustRightInd w:val="0"/>
        <w:snapToGrid w:val="0"/>
        <w:spacing w:line="360" w:lineRule="auto"/>
        <w:jc w:val="center"/>
        <w:rPr>
          <w:rFonts w:hint="eastAsia" w:ascii="Times New Roman" w:hAnsi="Times New Roman" w:eastAsia="宋体" w:cs="Times New Roman"/>
          <w:b/>
          <w:bCs/>
          <w:color w:val="000000"/>
          <w:kern w:val="0"/>
          <w:sz w:val="24"/>
          <w:highlight w:val="none"/>
          <w:lang w:val="en-US" w:eastAsia="zh-CN" w:bidi="ar"/>
        </w:rPr>
      </w:pPr>
      <w:r>
        <w:rPr>
          <w:sz w:val="24"/>
        </w:rPr>
        <w:br w:type="page"/>
      </w:r>
      <w:r>
        <w:rPr>
          <w:rFonts w:hint="eastAsia" w:ascii="Times New Roman" w:hAnsi="Times New Roman" w:eastAsia="宋体" w:cs="Times New Roman"/>
          <w:b/>
          <w:bCs/>
          <w:sz w:val="24"/>
          <w:szCs w:val="24"/>
          <w:highlight w:val="none"/>
          <w:lang w:val="en-US" w:eastAsia="zh-CN"/>
        </w:rPr>
        <w:t>“</w:t>
      </w:r>
      <w:r>
        <w:rPr>
          <w:rFonts w:hint="default" w:ascii="Times New Roman" w:hAnsi="Times New Roman" w:eastAsia="宋体" w:cs="Times New Roman"/>
          <w:b/>
          <w:bCs/>
          <w:sz w:val="24"/>
          <w:szCs w:val="24"/>
          <w:highlight w:val="none"/>
          <w:lang w:val="en-US" w:eastAsia="zh-CN"/>
        </w:rPr>
        <w:t>第</w:t>
      </w:r>
      <w:r>
        <w:rPr>
          <w:rFonts w:hint="eastAsia" w:ascii="Times New Roman" w:hAnsi="Times New Roman" w:eastAsia="宋体" w:cs="Times New Roman"/>
          <w:b/>
          <w:bCs/>
          <w:sz w:val="24"/>
          <w:szCs w:val="24"/>
          <w:highlight w:val="none"/>
          <w:lang w:val="en-US" w:eastAsia="zh-CN"/>
        </w:rPr>
        <w:t>五</w:t>
      </w:r>
      <w:r>
        <w:rPr>
          <w:rFonts w:hint="default" w:ascii="Times New Roman" w:hAnsi="Times New Roman" w:eastAsia="宋体" w:cs="Times New Roman"/>
          <w:b/>
          <w:bCs/>
          <w:sz w:val="24"/>
          <w:szCs w:val="24"/>
          <w:highlight w:val="none"/>
          <w:lang w:val="en-US" w:eastAsia="zh-CN"/>
        </w:rPr>
        <w:t>章 采购需求</w:t>
      </w:r>
      <w:r>
        <w:rPr>
          <w:rFonts w:hint="eastAsia" w:ascii="Times New Roman" w:hAnsi="Times New Roman" w:eastAsia="宋体" w:cs="Times New Roman"/>
          <w:b/>
          <w:bCs/>
          <w:sz w:val="24"/>
          <w:szCs w:val="24"/>
          <w:highlight w:val="none"/>
          <w:lang w:val="en-US" w:eastAsia="zh-CN"/>
        </w:rPr>
        <w:t xml:space="preserve"> 二、商务要求”</w:t>
      </w:r>
      <w:r>
        <w:rPr>
          <w:rFonts w:hint="eastAsia" w:ascii="Times New Roman" w:hAnsi="Times New Roman" w:eastAsia="宋体" w:cs="Times New Roman"/>
          <w:b/>
          <w:bCs/>
          <w:color w:val="000000"/>
          <w:kern w:val="0"/>
          <w:sz w:val="24"/>
          <w:highlight w:val="none"/>
          <w:lang w:val="en-US" w:eastAsia="zh-CN" w:bidi="ar"/>
        </w:rPr>
        <w:t>中的“交付的时间和地点”、</w:t>
      </w:r>
      <w:r>
        <w:rPr>
          <w:rFonts w:hint="eastAsia" w:ascii="Times New Roman" w:hAnsi="Times New Roman" w:eastAsia="宋体" w:cs="Times New Roman"/>
          <w:b/>
          <w:bCs/>
          <w:sz w:val="24"/>
          <w:szCs w:val="24"/>
          <w:highlight w:val="none"/>
          <w:lang w:val="en-US" w:eastAsia="zh-CN"/>
        </w:rPr>
        <w:t>“</w:t>
      </w:r>
      <w:r>
        <w:rPr>
          <w:rFonts w:hint="default" w:ascii="Times New Roman" w:hAnsi="Times New Roman" w:eastAsia="宋体" w:cs="Times New Roman"/>
          <w:b/>
          <w:bCs/>
          <w:sz w:val="24"/>
          <w:szCs w:val="24"/>
          <w:highlight w:val="none"/>
          <w:lang w:val="en-US" w:eastAsia="zh-CN"/>
        </w:rPr>
        <w:t>第</w:t>
      </w:r>
      <w:r>
        <w:rPr>
          <w:rFonts w:hint="eastAsia" w:ascii="Times New Roman" w:hAnsi="Times New Roman" w:eastAsia="宋体" w:cs="Times New Roman"/>
          <w:b/>
          <w:bCs/>
          <w:sz w:val="24"/>
          <w:szCs w:val="24"/>
          <w:highlight w:val="none"/>
          <w:lang w:val="en-US" w:eastAsia="zh-CN"/>
        </w:rPr>
        <w:t>五</w:t>
      </w:r>
      <w:r>
        <w:rPr>
          <w:rFonts w:hint="default" w:ascii="Times New Roman" w:hAnsi="Times New Roman" w:eastAsia="宋体" w:cs="Times New Roman"/>
          <w:b/>
          <w:bCs/>
          <w:sz w:val="24"/>
          <w:szCs w:val="24"/>
          <w:highlight w:val="none"/>
          <w:lang w:val="en-US" w:eastAsia="zh-CN"/>
        </w:rPr>
        <w:t>章 采购需求</w:t>
      </w:r>
      <w:r>
        <w:rPr>
          <w:rFonts w:hint="eastAsia" w:ascii="Times New Roman" w:hAnsi="Times New Roman" w:eastAsia="宋体" w:cs="Times New Roman"/>
          <w:b/>
          <w:bCs/>
          <w:sz w:val="24"/>
          <w:szCs w:val="24"/>
          <w:highlight w:val="none"/>
          <w:lang w:val="en-US" w:eastAsia="zh-CN"/>
        </w:rPr>
        <w:t xml:space="preserve"> 三、技术要求”</w:t>
      </w:r>
      <w:r>
        <w:rPr>
          <w:rFonts w:hint="eastAsia" w:ascii="Times New Roman" w:hAnsi="Times New Roman" w:eastAsia="宋体" w:cs="Times New Roman"/>
          <w:b/>
          <w:bCs/>
          <w:color w:val="000000"/>
          <w:kern w:val="0"/>
          <w:sz w:val="24"/>
          <w:highlight w:val="none"/>
          <w:lang w:val="en-US" w:eastAsia="zh-CN" w:bidi="ar"/>
        </w:rPr>
        <w:t>中的“技术规格”</w:t>
      </w:r>
    </w:p>
    <w:p w14:paraId="60893F7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color w:val="auto"/>
          <w:spacing w:val="0"/>
          <w:position w:val="0"/>
          <w:sz w:val="24"/>
          <w:szCs w:val="24"/>
          <w:shd w:val="clear" w:fill="auto"/>
        </w:rPr>
      </w:pPr>
      <w:r>
        <w:rPr>
          <w:rFonts w:hint="default" w:ascii="Times New Roman" w:hAnsi="Times New Roman" w:eastAsia="宋体" w:cs="Times New Roman"/>
          <w:b/>
          <w:color w:val="auto"/>
          <w:spacing w:val="0"/>
          <w:position w:val="0"/>
          <w:sz w:val="24"/>
          <w:szCs w:val="24"/>
          <w:shd w:val="clear" w:fill="auto"/>
          <w:lang w:val="en-US" w:eastAsia="zh-CN"/>
        </w:rPr>
        <w:t>二、</w:t>
      </w:r>
      <w:r>
        <w:rPr>
          <w:rFonts w:hint="default" w:ascii="Times New Roman" w:hAnsi="Times New Roman" w:eastAsia="宋体" w:cs="Times New Roman"/>
          <w:b/>
          <w:color w:val="auto"/>
          <w:spacing w:val="0"/>
          <w:position w:val="0"/>
          <w:sz w:val="24"/>
          <w:szCs w:val="24"/>
          <w:shd w:val="clear" w:fill="auto"/>
        </w:rPr>
        <w:t>商务要求</w:t>
      </w:r>
    </w:p>
    <w:p w14:paraId="5F598033">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交付</w:t>
      </w:r>
      <w:r>
        <w:rPr>
          <w:rFonts w:hint="default" w:ascii="Times New Roman" w:hAnsi="Times New Roman" w:eastAsia="宋体" w:cs="Times New Roman"/>
          <w:sz w:val="24"/>
          <w:szCs w:val="24"/>
          <w:lang w:val="en-US" w:eastAsia="zh-CN"/>
        </w:rPr>
        <w:t>和安装调试</w:t>
      </w:r>
      <w:r>
        <w:rPr>
          <w:rFonts w:hint="default" w:ascii="Times New Roman" w:hAnsi="Times New Roman" w:eastAsia="宋体" w:cs="Times New Roman"/>
          <w:sz w:val="24"/>
          <w:szCs w:val="24"/>
        </w:rPr>
        <w:t>的时间和地点</w:t>
      </w:r>
    </w:p>
    <w:p w14:paraId="7D7AD5A0">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lang w:val="en-US" w:eastAsia="zh-CN"/>
        </w:rPr>
        <w:t>交货时间</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lang w:val="en-US" w:eastAsia="zh-CN"/>
        </w:rPr>
        <w:t>合同签订生效之日起10日内完成供货</w:t>
      </w:r>
      <w:r>
        <w:rPr>
          <w:rFonts w:hint="default" w:ascii="Times New Roman" w:hAnsi="Times New Roman" w:eastAsia="宋体" w:cs="Times New Roman"/>
          <w:sz w:val="24"/>
          <w:szCs w:val="24"/>
          <w:highlight w:val="none"/>
          <w:lang w:eastAsia="zh-CN"/>
        </w:rPr>
        <w:t>。</w:t>
      </w:r>
    </w:p>
    <w:p w14:paraId="36721988">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安装调试时间：交货完成后的10日内完成全部设备的安装调试工作。</w:t>
      </w:r>
    </w:p>
    <w:p w14:paraId="6608BF4C">
      <w:pPr>
        <w:adjustRightInd w:val="0"/>
        <w:snapToGrid w:val="0"/>
        <w:spacing w:line="360" w:lineRule="auto"/>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交货</w:t>
      </w:r>
      <w:r>
        <w:rPr>
          <w:rFonts w:hint="default" w:ascii="Times New Roman" w:hAnsi="Times New Roman" w:eastAsia="宋体" w:cs="Times New Roman"/>
          <w:sz w:val="24"/>
          <w:szCs w:val="24"/>
          <w:highlight w:val="none"/>
        </w:rPr>
        <w:t>地点：</w:t>
      </w:r>
      <w:r>
        <w:rPr>
          <w:rFonts w:hint="default" w:ascii="Times New Roman" w:hAnsi="Times New Roman" w:eastAsia="宋体" w:cs="Times New Roman"/>
          <w:sz w:val="24"/>
          <w:szCs w:val="24"/>
          <w:highlight w:val="none"/>
          <w:lang w:val="en-US" w:eastAsia="zh-CN"/>
        </w:rPr>
        <w:t>采购人指定地点。</w:t>
      </w:r>
    </w:p>
    <w:p w14:paraId="2D59BAAD">
      <w:pPr>
        <w:adjustRightInd w:val="0"/>
        <w:snapToGrid w:val="0"/>
        <w:spacing w:line="360" w:lineRule="auto"/>
        <w:ind w:firstLine="480" w:firstLineChars="200"/>
        <w:jc w:val="left"/>
        <w:rPr>
          <w:rFonts w:hint="default" w:ascii="Times New Roman" w:hAnsi="Times New Roman" w:eastAsia="宋体" w:cs="Times New Roman"/>
          <w:sz w:val="24"/>
          <w:szCs w:val="24"/>
          <w:highlight w:val="none"/>
          <w:lang w:val="en-US" w:eastAsia="zh-CN"/>
        </w:rPr>
      </w:pPr>
    </w:p>
    <w:p w14:paraId="4454717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color w:val="auto"/>
          <w:spacing w:val="0"/>
          <w:position w:val="0"/>
          <w:sz w:val="24"/>
          <w:szCs w:val="24"/>
          <w:shd w:val="clear" w:fill="auto"/>
          <w:lang w:val="en-US" w:eastAsia="zh-CN"/>
        </w:rPr>
      </w:pPr>
      <w:r>
        <w:rPr>
          <w:rFonts w:hint="default" w:ascii="Times New Roman" w:hAnsi="Times New Roman" w:eastAsia="宋体" w:cs="Times New Roman"/>
          <w:b/>
          <w:color w:val="auto"/>
          <w:spacing w:val="0"/>
          <w:position w:val="0"/>
          <w:sz w:val="24"/>
          <w:szCs w:val="24"/>
          <w:shd w:val="clear" w:fill="auto"/>
          <w:lang w:val="en-US" w:eastAsia="zh-CN"/>
        </w:rPr>
        <w:t>三、</w:t>
      </w:r>
      <w:r>
        <w:rPr>
          <w:rFonts w:hint="default" w:ascii="Times New Roman" w:hAnsi="Times New Roman" w:eastAsia="宋体" w:cs="Times New Roman"/>
          <w:b/>
          <w:color w:val="auto"/>
          <w:spacing w:val="0"/>
          <w:position w:val="0"/>
          <w:sz w:val="24"/>
          <w:szCs w:val="24"/>
          <w:shd w:val="clear" w:fill="auto"/>
        </w:rPr>
        <w:t>技术要求</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4"/>
        <w:gridCol w:w="887"/>
        <w:gridCol w:w="5747"/>
        <w:gridCol w:w="538"/>
        <w:gridCol w:w="876"/>
      </w:tblGrid>
      <w:tr w14:paraId="5C7F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758C4">
            <w:pPr>
              <w:keepNext w:val="0"/>
              <w:keepLines w:val="0"/>
              <w:widowControl/>
              <w:suppressLineNumbers w:val="0"/>
              <w:spacing w:line="360" w:lineRule="auto"/>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18908">
            <w:pPr>
              <w:keepNext w:val="0"/>
              <w:keepLines w:val="0"/>
              <w:widowControl/>
              <w:suppressLineNumbers w:val="0"/>
              <w:spacing w:line="360" w:lineRule="auto"/>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84EDA">
            <w:pPr>
              <w:keepNext w:val="0"/>
              <w:keepLines w:val="0"/>
              <w:widowControl/>
              <w:suppressLineNumbers w:val="0"/>
              <w:spacing w:line="360" w:lineRule="auto"/>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技术规格</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01B9">
            <w:pPr>
              <w:keepNext w:val="0"/>
              <w:keepLines w:val="0"/>
              <w:widowControl/>
              <w:suppressLineNumbers w:val="0"/>
              <w:spacing w:line="360" w:lineRule="auto"/>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计量单位</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431A">
            <w:pPr>
              <w:keepNext w:val="0"/>
              <w:keepLines w:val="0"/>
              <w:widowControl/>
              <w:suppressLineNumbers w:val="0"/>
              <w:spacing w:line="360" w:lineRule="auto"/>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数量</w:t>
            </w:r>
          </w:p>
        </w:tc>
      </w:tr>
      <w:tr w14:paraId="74AE7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1A3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E04D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切片机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FF2C0">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1.电压：380V 功率≤1.5kw；工作效率：800-1500kg/h；.外形尺寸：585X605X820mm（±5%）；刀组有效切割长度320mm，需采用快拆式刀组设计；产品切刀防护门处需设有安全连锁机构（打开可自动断电停机）、配备紧急停止按钮（紧急情况下可一键停机）等安全装置保障安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2.所投设备通过食品接触产品卫生认证试验，试验结论合格。且设备外壳、刀具通过最新国标试验对理化指标：铅、锑、铬、锰、镍、镉、砷等进行检测，第三次迁移试验结果均为合格；（投标人所提供的资料必须真实有效，须提供有效的第三方检测（试验）报告扫描件佐证，评标委员会有权对原件进行核查）</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3.抗拉强度、规定塑性延伸强度、断后伸长率、弯曲试验、维氏硬度检测结果均符合最新国标要求。</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530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7EB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63BEA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485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22B8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绞肉机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3BE1C">
            <w:pPr>
              <w:keepNext w:val="0"/>
              <w:keepLines w:val="0"/>
              <w:widowControl/>
              <w:suppressLineNumbers w:val="0"/>
              <w:spacing w:line="360" w:lineRule="auto"/>
              <w:jc w:val="both"/>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产品描述：适用于将鲜肉绞制成肉馅。</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1.电压：380V 功率≤2.2kw；工作效率：绞肉产量：400-600kg/h；外形尺寸：900*570*780mm（±5%）；产品配备紧急停止按钮（紧急情况下可一键停机）等安全装置保障安全，绞肉组件需选用不锈钢设计且可快速拆卸；</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所投设备依据最新国标：一般要求、外观质量要求、电气安全要求、安全防护要求、正常工作噪声标志等测试或评定判定均为合格；且满足：耐压强度：1406V应无击穿，接地电阻≤0.1Ω、工作噪声小于等于85dB（A)；</w:t>
            </w:r>
          </w:p>
          <w:p w14:paraId="21899175">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所投设备依据最新国标，通过食品接触产品卫生认证试验，试验结论合格，且设备外壳、刀具通过最新国标试验对理化指标：铅、锑、铬、锰、镍、镉、砷等进行检测，第三次迁移试验结果均为合格；（投标人所提供的资料必须真实有效，须提供有效的第三方检测（试验）报告扫描件佐证，评标委员会有权对原件进行核查）</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4.抗拉强度、规定塑性延伸强度、断后伸长率、弯曲试验、维氏硬度检测结果均符合最新国标要求</w:t>
            </w:r>
            <w:r>
              <w:rPr>
                <w:rFonts w:hint="default" w:ascii="Times New Roman" w:hAnsi="Times New Roman" w:eastAsia="宋体" w:cs="Times New Roman"/>
                <w:b/>
                <w:bCs/>
                <w:i w:val="0"/>
                <w:iCs w:val="0"/>
                <w:color w:val="000000"/>
                <w:kern w:val="0"/>
                <w:sz w:val="24"/>
                <w:szCs w:val="24"/>
                <w:u w:val="none"/>
                <w:lang w:val="en-US" w:eastAsia="zh-CN" w:bidi="ar"/>
              </w:rPr>
              <w:t>。</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151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8C9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088C0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73D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1FB3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绞切两用机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BF138">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产品描述：绞肉部分适用于鲜肉绞制成肉糜。切肉部分可将鲜肉一次切片、二次切丝。</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1.电压：220V 功率≤2.6kw；工作效率：绞肉产量：≥350kg/h 切片产量：≥600kg/h；外形尺寸：630*700*900mm（±5%）；刀组有效切割长度170mm，需采用快拆式刀组设计；产品配备紧急停止按钮（紧急情况下可一键停机）等安全装置保障安全；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2.所投设备依据最新国标：一般要求、外观质量要求、电气安全要求、安全防护要求、正常工作噪声标志等测试或评定判定均为合格；且满足：接地电阻≤0.1Ω、工作噪声小于等于85dB（A)；</w:t>
            </w:r>
            <w:r>
              <w:rPr>
                <w:rFonts w:hint="default" w:ascii="Times New Roman" w:hAnsi="Times New Roman" w:eastAsia="宋体" w:cs="Times New Roman"/>
                <w:b/>
                <w:bCs/>
                <w:i w:val="0"/>
                <w:iCs w:val="0"/>
                <w:color w:val="000000"/>
                <w:kern w:val="0"/>
                <w:sz w:val="24"/>
                <w:szCs w:val="24"/>
                <w:u w:val="none"/>
                <w:lang w:val="en-US" w:eastAsia="zh-CN" w:bidi="ar"/>
              </w:rPr>
              <w:t>▲3.所投设备依据最新国标，通过食品接触产品卫生认证试验，试验结论合格，且设备外壳、刀具通过最新国标试验对理化指标：铅、锑、铬、锰、镍、镉、砷等进行检测，第三次迁移试验结果均为合格；（投标人所提供的资料必须真实有效，须提供有效的第三方检测（试验）报告扫描件佐证，评标委员会有权对原件进行核查）</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4.抗拉强度、规定塑性延伸强度、断后伸长率、弯曲试验、维氏硬度检测结果均符合最新国标要求</w:t>
            </w:r>
            <w:r>
              <w:rPr>
                <w:rFonts w:hint="default" w:ascii="Times New Roman" w:hAnsi="Times New Roman" w:eastAsia="宋体" w:cs="Times New Roman"/>
                <w:b/>
                <w:bCs/>
                <w:i w:val="0"/>
                <w:iCs w:val="0"/>
                <w:color w:val="000000"/>
                <w:kern w:val="0"/>
                <w:sz w:val="24"/>
                <w:szCs w:val="24"/>
                <w:u w:val="none"/>
                <w:lang w:val="en-US" w:eastAsia="zh-CN" w:bidi="ar"/>
              </w:rPr>
              <w:t>。</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A67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D9B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047C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ADF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9C07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毛巾砧板刀具组合消毒柜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B6AE4">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1200×600×1800mm；全自动电子显示；自定义设定刀具消毒时间并记录，每次开启后自动设定；采用优质紫外线灯管，紫外线波长≥253.7nm；采用防止紫外线外泄的玻璃门板；刀箱门内连接保护开关，开门时紫外线灯管停止工作，以防止紫外线；功率：220V/3KW。</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555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844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136BA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21A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EBBD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四门双机双温雪柜（风冷）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51215">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1.尺寸约1200×750×1950mm；温度范围：+1/+4℃ ；冷媒种类：R134a；容量：901L；电功率：0.45KW 220V/1PH/50Hz；       </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内外采用304#不锈钢拉丝板，门体材料：铝合金玻璃门；60mm厚高密度聚氨酯隔热发泡层；内部采用圆角设计，可放置≥8个GN2/1浸塑层网和≥4组不锈钢可拆卸托架；配双控锁；门框装配可更换门边发热线，以防止门边结露；可拆卸式5气囊磁吸门封胶边；配150mm高不锈钢可调承重脚或转向脚轮；按键式电子温度控制系统:手动、自动电热化霜,蒸发器风扇控制,快速冷却功能；风冷循环系统可快速降温并使温度达到均匀；自动除霜功能:+1℃以上为吹风式；±0℃或+1℃以下为电热管除霜；高压自动蒸发冷凝水；优质压缩机，安装环境温度最高为43℃。</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CB3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56B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0CE9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E47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E35B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双层工作台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45D4F">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1.尺寸约1800×800×800mm，采用304#不锈钢拉丝板；台面为≥1.5mm厚不锈钢结构，台面下垫衬木板，并有加强筋，下层板为≥1.2mm厚不锈钢结构；作台腿采用50×50×1.2mm厚不锈钢方管，下带四个50mm可调节不锈钢子弹脚。</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A66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08B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1115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FC5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0A41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电热水器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45CFD">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1.能效等级：一级能效；加热方式：双管加热；内胆材质：搪瓷；防水等级：≥IPX4；最大容积：80L；电压/功率：220V/50H/3KW。</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419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730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54738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7DA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1996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洗地龙头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AFD18">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开放式洗地龙头、碳钢主体，表面环氧喷涂处理（蓝色）；固定侧支架钢板厚度5mm，黄铜进水主体；10.7米重工无痕三层液压钢丝管（蓝色）、与主体接口为金属连接件、耐温85度；黄铜铸造枪式喷头、配有橡胶保护套水压可调（配置一把喷头）；进水接口为标准1/2''外螺纹；配旋转支架。</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B55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C51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5B50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476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D930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双星盆台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8BE25">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1500×760×800mm，整体采用304#不锈钢拉丝板制作；台面板采用304#不锈钢拉丝板厚度≥1.5mm，配厚度≥1.2mm不锈钢方管做加力筋；星盆采用304#不锈钢拉丝板，厚度≥1.5mm；座台式双孔双温水龙头主体黄铜铸造；台脚采用Φ38mm厚度为≥1.5mm不锈钢圆通，横撑φ25*1.5mm不锈钢圆管，配可调不锈钢子弹脚；水槽底部承受100KG载荷，其变形量≤0.30mm。</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D4E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42D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324F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B17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C0A6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单星盆台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334A9">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1200×760×800mm，整体采用304#不锈钢拉丝板制作；台面板采用304#不锈钢拉丝板厚度≥1.5mm，配厚度≥1.2mm不锈钢方管做加力筋；星盆采用304#不锈钢拉丝板，厚度≥1.5mm；座台式双孔双温水龙头主体黄铜铸造；台脚采用Φ38mm厚度为≥1.5mm不锈钢圆通，横撑φ25*1.5mm不锈钢圆管，配可调不锈钢子弹脚；水槽底部承受100KG载荷，其变形量≤0.30mm。</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2D8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74A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7BAF8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68B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6A78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土豆去皮机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913FD">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1.产量：≥240kg/h，功率：1.5kw 220V，外形尺寸：约670*500*830mm，不锈钢外壳，可拆卸进水管，可打开式出料口门。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2.所投设备依据最新国标，通过食品接触产品卫生认证试验，试验结论合格，且设备外壳通过最新国标试验对理化指标：铅、锑、铬、锰、镍、镉、砷等进行检测，第三次迁移试验结果均为合格；（投标人所提供的资料必须真实有效，须提供有效的第三方检测（试验）报告扫描件佐证，评标委员会有权对原件进行核查,）</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3.抗拉强度、规定塑性延伸强度、断后伸长率、弯曲试验、维氏硬度检测结果均符合最新国标要求。</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C24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45C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242D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B3C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CE27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多功能切菜机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1E7FC">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1.电压;220V 功率≤2.22kw；工作效率：300-1000kg/h；叶菜切制规格：1-60mm；随机刀具至少包含大双刀1组（叶菜）；切片刀盘、切丝刀盘、切丁刀盘各一组；至少配置两个变频器、用于输送部及叶菜部速度调整；输送宽度：120mm；外形尺寸：1180*550*1260mm（±5%）；产品两侧切刀门处需设有安全连锁机构（开门可自动断电停机）、配备热过载继电器（保护电机）及紧急停止按钮（紧急情况下可一键停机）等安全装置保障安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所投设备依据最新国标，一般技术要求、主要零部件质量、外观要求、装配要求、性能要求、安全卫生要求、噪声、警示标志、标志等所检项目判定为合格；且满足：轴承温升≤35K、刀片刃口与底刀轴向装配间隙≤0.5mm、接地电阻≤0.1Ω、空载噪声≤78dB (A)；</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3.所投设备依据最新国标，通过食品接触产品卫生认证试验，试验结论合格，且①设备外壳、刀具通过最新国标试验对理化指标：铅、锑、铬、锰、镍、镉、砷等进行检测，第三次迁移试验结果均为合格；②输送带通过最新国标试验对理化指标：总迁移量、高锰酸钾消耗量、重金属、脱色试验检测，试验结果均为合格；（投标人所提供的资料必须真实有效，须提供有效的第三方检测（试验）报告扫描件佐证，评标委员会有权对原件进行核查）</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6B8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069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72748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B8B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8689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菜馅机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2A517">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1.功率1.5kw 220V 产量：≥180kg/h ；外形尺寸：约780*710*940mm，外壳不锈钢材质。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2.所投设备依据最新国标，通过食品接触产品卫生认证试验，试验结论合格，且①设备外壳、刀具通过最新国标试验对理化指标：铅、锑、铬、锰、镍、镉、砷等进行检测，第三次迁移试验结果均为合格；②输送带通过通过最新国标试验对理化指标：总迁移量、高锰酸钾消耗量、重金属、脱色试验检测，试验结果均为合格；（投标人所提供的资料必须真实有效，须提供有效的第三方检测（试验）报告扫描件佐证，评标委员会有权对原件进行核查）</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3.抗拉强度、规定塑性延伸强度、断后伸长率、弯曲试验、维氏硬度检测结果均符合最新国标要求。</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035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B04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16602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C8E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EDD6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洗菜机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A1C23">
            <w:pPr>
              <w:keepNext w:val="0"/>
              <w:keepLines w:val="0"/>
              <w:widowControl/>
              <w:numPr>
                <w:ilvl w:val="0"/>
                <w:numId w:val="1"/>
              </w:numPr>
              <w:suppressLineNumbers w:val="0"/>
              <w:spacing w:line="360" w:lineRule="auto"/>
              <w:jc w:val="both"/>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产量：300-500kg/h，机器尺寸：约1770*740*1150mm，功率：2.75kw 380V，本机采用自动化控制，涡流、翻转、高压喷淋技术；设备外壳和骨架采用SUS304不锈钢制作；设备配备有定时器，可调整清洗时间。</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所投设备依据最新国标，一般要求、主要零部件质量要求、电气安全、卫生要求、机械安全要求、噪声空载、外观要求、装配要求、运转、温升等测试或评定判定均为合格；且满足：轴承温升≤35K，接地电阻≤0.1Ω、空载噪声小于等于78dB（A)；</w:t>
            </w:r>
          </w:p>
          <w:p w14:paraId="158DA97C">
            <w:pPr>
              <w:keepNext w:val="0"/>
              <w:keepLines w:val="0"/>
              <w:widowControl/>
              <w:numPr>
                <w:ilvl w:val="-1"/>
                <w:numId w:val="0"/>
              </w:numPr>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所投设备依据最新国标，通过食品接触产品卫生认证试验，试验结论合格。且设备外壳通过最新国标试验对理化指标：铅、锑、铬、锰、镍、镉、砷等进行检测，第三次迁移试验结果均为合格；（投标人所提供的资料必须真实有效，须提供有效的第三方检测（试验）报告扫描件佐证，评标委员会有权对原件进行核查）</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4.抗拉强度、规定塑性延伸强度、断后伸长率、弯曲试验、维氏硬度检测结果均符合最新国标要求。</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3F8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E09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54AA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FAA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3F54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双星盆台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868A0">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1500×760×800mm，整体采用304#不锈钢拉丝板制作；台面板采用304#不锈钢拉丝板厚度≥1.5mm，配厚度≥1.2mm不锈钢方管做加力筋；星盆采用304#不锈钢拉丝板，厚度≥1.5mm；座台式双孔双温水龙头主体黄铜铸造；台脚采用Φ38mm厚度为≥1.5mm不锈钢圆通，横撑φ25*1.5mm不锈钢圆管，配可调不锈钢子弹脚；水槽底部承受100KG载荷，其变形量≤0.30mm。</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3B6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4C2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55D9F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75E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4856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搅拌机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19C2A">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电压：220V，功率≤1500W；料桶容积：≥20L，最大和面量：5kg（面水比例1:0.6以上）搅拌转速：105/162/395(r/min)（三挡调速）；外形尺寸：570*480*795mm（±5%）；搅拌桶，搅拌勾均由不锈钢制作，配备搅拌勾、搅拌球、扇形搅拌器，具有打奶油、打蛋、拌馅等功能；产品搅拌桶处设有安全连锁机构（打开防护网可自动断电停机）、配备过载保护装置（保护电机）及紧急停止按钮（紧急情况下可一键停机）等安全装置保障安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2.所投设备依据最新国标，通过食品接触产品卫生认证试验，试验结论合格，且设备外壳通过最新国标试验对理化指标：铅、锑、铬、锰、镍、镉、砷等进行检测，第三次迁移试验结果均为合格；（投标人所提供的资料必须真实有效，须提供有效的第三方检测（试验）报告扫描件佐证，评标委员会有权对原件进行核查。）</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3.抗拉强度、规定塑性延伸强度、断后伸长率、弯曲试验、维氏硬度检测结果均符合最新国标要求。</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270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2D9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4B11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3D6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3C88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和面机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D29C8">
            <w:pPr>
              <w:keepNext w:val="0"/>
              <w:keepLines w:val="0"/>
              <w:widowControl/>
              <w:numPr>
                <w:ilvl w:val="0"/>
                <w:numId w:val="2"/>
              </w:numPr>
              <w:suppressLineNumbers w:val="0"/>
              <w:spacing w:line="360" w:lineRule="auto"/>
              <w:jc w:val="both"/>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一次和面量：≥50kg 设备产量：≥300kg/h，电压/功率：380V/3kw，外形尺寸：约940*645*1140㎜</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所投设备依据最新国标，一般要求、主要零部件质量要求、外观要求、整机性能要求、电气安全、卫生要求、空载噪声、标志等所检项目判定为合格；且满足：主要零部件检查应无裂纹、抗开裂、抗碎裂、能阻止污污渗入、便于清洗和消毒、接地电阻≤0.1Ω、空载噪声小于等于80dB（A)；</w:t>
            </w:r>
          </w:p>
          <w:p w14:paraId="451F2C91">
            <w:pPr>
              <w:keepNext w:val="0"/>
              <w:keepLines w:val="0"/>
              <w:widowControl/>
              <w:numPr>
                <w:ilvl w:val="-1"/>
                <w:numId w:val="0"/>
              </w:numPr>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所投设备依据最新国标，通过食品接触产品卫生认证试验，试验结论合格，且设备外壳通过最新国标试验对理化指标：铅、锑、铬、锰、镍、镉、砷等进行检测，第三次迁移试验结果均为合格；（投标人所提供的资料必须真实有效，须提供有效的第三方检测（试验）报告扫描件佐证，评标委员会有权对原件进行核查）</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4.抗拉强度、规定塑性延伸强度、断后伸长率、弯曲试验、维氏硬度检测结果均符合最新国标要求。</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5F1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473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2CC69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FAD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1A83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洗地龙头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C33E3B">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开放式洗地龙头、碳钢主体，表面环氧喷涂处理（蓝色）；固定侧支架钢板厚度≥5mm，黄铜进水主体；10.7米重工无痕三层液压钢丝管（蓝色）、与主体接口为金属连接件、耐温85度；黄铜铸造枪式喷头、配有橡胶保护套水压可调（配置一把喷头）；进水接口为标准1/2''外螺纹；配旋转支架。</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A98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317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416B2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4CA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1762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压面机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D0AFF">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1.压面厚度：0.8-6(㎜) 压辊宽度: 220（㎜）；电压：380V 功率：≤1.5kw；设备产量：≥60kg；外形尺寸：1150*520*1170㎜(±5%)；不锈钢外壳。双手轮调节薄厚，可任意调节压面薄厚，装上不同面刀，可制作多种规格面条；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所投设备依据最新国标，一般要求、主要零部件质量要求、外观要求、运转、电气安全、卫生要求、噪声、警示标志、标志等所检项目判定为合格；且面刀表面粗糙度及面辊表面粗糙度≤1.6‌μm、接地电阻≤0.1Ω、空载噪声小于等于85dB（A)；</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3.所投设备依据最新国标，通过食品接触产品卫生认证试验，试验结论合格，且设备外壳通过最新国标试验对理化指标：铅、锑、铬、锰、镍、镉、砷等进行检测，第三次迁移试验结果均为合格；（投标人所提供的资料必须真实有效，须提供有效的第三方检测（试验）报告扫描件佐证，评标委员会有权对原件进行核查）</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4.抗拉强度、规定塑性延伸强度、断后伸长率、弯曲试验、维氏硬度检测结果均符合最新国标要求。</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C68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E1C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58DFF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48C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7DAF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木面案工作台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8C1B8">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1.尺寸约1800×760×800mm，采用304#不锈钢拉丝板，台面为优质黄松木板，厚≥8cm；脚横撑采用50×50×1.5mm厚不锈钢方管；腿为50×50×1.5mm厚不锈钢方管，配可调节不锈钢子弹脚。</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8FC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EB2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0E47A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98A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D3D6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保鲜工作台（风冷）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85EBA">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1.尺寸约1800×760×800mm，温度范围：+1℃～+4℃；冷媒种类：R134a；容量：≥400L；电功率：0.34KW 220V/1PH/50Hz；内外采用优质304#不锈钢拉丝板；50mm厚高密度聚氨酯隔热发泡层；≥1.2mm厚不锈钢防刮花台面；内部采用圆角设计，可放置≥4个GN2/1浸塑层网和≥4组不锈钢可拆卸托架；门配锁，门框内装配可更换发热线，以防止门边结露；可拆卸式5气囊磁吸门封胶边；配150mm高不锈钢可调承重脚或配转向脚轮；按键式电子温度控制系统:手动、自动电热化霜,蒸发器风扇控制,快速冷却功能；风冷循环系统可快速降温并使温度达到均匀；自动除霜功能:+1℃以上为吹风式；±0℃或+1℃以下为电热管除霜；高压自动蒸发冷凝水；优质压缩机，抽拉式冷冻机组，方便维保清洁，安装环境温度最高为43℃。</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1DA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813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20A44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7A8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9A94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面粉车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C79AD">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1.尺寸约500×500×500mm，整体采用304#不锈钢拉丝板制作；车身板厚度为≥1.2mm，配四个万向静音轮，其中两个万向带直锁装置，脚轮的材质为耐磨静音耐油的橡胶制品。</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C75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568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2D9E3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24A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B964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四门双机双温雪柜（风冷）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4795A">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1.尺寸约1200×750×1950mm，温度范围：+1/+4℃；冷媒种类：R134a；容量：≥901L；电功率：0.45KW 220V/1PH/50Hz；内外采用优质304#不锈钢拉丝板，门体材料：铝合金玻璃门；60mm厚高密度聚氨酯隔热发泡层；内部采用圆角设计，可放置≥8个GN2/1浸塑层网和≥4组不锈钢可拆卸托架；配双控锁；门框装配可更换门边发热线，以防止门边结露；可拆卸式5气囊磁吸门封胶边；配150mm高不锈钢可调承重脚或可选配转向脚轮；按键式电子温度控制系统:手动、自动电热化霜,蒸发器风扇控制,快速冷却功能；风冷循环系统可快速降温并使温度达到均匀；自动除霜功能:+1℃以上为吹风式；±0℃或+1℃以下为电热管除霜；高压自动蒸发冷凝水；优质压缩机，安装环境温度最高为43℃。</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7D3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D5A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24BE4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120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0218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豆浆机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F7356">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1.尺寸约300×240×850mm，生产容量:30-45升；电压功率:220V/1.5KW；材质：不锈钢。</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8FD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02E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00920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29B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AC57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电开水器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3A8B3">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1.尺寸约500×550×1460mm，电压功率：380V/12KW ,额定开水产量：120L/h,容积：≥80L；首沸时间：45分钟,采用行程进水阀门,杜绝阴阳水混合，达到生水和熟水分开，放开水达到一定的水位线时，开始补水。</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987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B92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2329A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ECF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463C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饼盘车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6267B">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1.尺寸约500×700×1800mm，采用SUS304#m不锈钢拉丝板，车盘托板为≥1.2mm厚不锈钢结构；车身为38*381.5mm厚不锈钢方管；车配有4个灵活静音方向活动脚轮，其中两个带有锁紧装备。</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B6D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DC4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38CC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043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7BC7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三层餐车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60D55">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1.尺寸约800×550×850mm，采用304#m不锈钢拉丝板，车盘托板为≥1.2mm厚不锈钢结构；车身为38*381.5mm厚不锈钢方管；车配有4个灵活静音方向活动脚轮，其中两个带有锁紧装备。</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10A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1CD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272E5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686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D39C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双通工作柜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DCD69">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1800×800×800mm，采用304#不锈钢拉丝板，柜台面为≥1.5mm厚不锈钢结构，台面下垫衬木板，并有加强筋，满足卫生和清洁要求；层板及围板为≥1.2mm厚不锈钢结构，门为≥1.0mm厚不锈钢结构，配吊式移门，移门采用滑悬挂轮双向推拉门（柜门下部便于清洗）；柜脚配不锈钢可调节重力脚。</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27D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ECA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r>
      <w:tr w14:paraId="3A34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F6F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69A8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炉拼台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7D4D3">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1.尺寸约400×1100×800mm，采用SUS304#不锈钢拉丝板，</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台面为≥1.5mm厚不锈钢结构，并有加强筋；工作台腿采用50×50×1.2mm厚不锈钢方管，下带四个50mm可调节不锈钢子弹脚。</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EE4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BC1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r>
      <w:tr w14:paraId="406A4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35A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059B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燃气六眼煲仔炉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800ED">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1100×800×800mm，整体采用304#不锈钢拉丝板；炉面板边框采用≥1.5mm厚不锈钢拉丝板；炉面用采用≥2.5mm厚A3钢板做第二层衬板，炉架面与炉台面之间必修填充硅酸盐棉隔热；炉身采用≥1.2mm厚不锈钢拉丝板，炉背采用≥1.2mm厚不锈钢拉丝板；炉体骨架采用40mm*40mm*4mm角铁，炉脚采用φ2"无缝钢管内含钢柱配不锈钢加重调整脚；炉头: 6寸文华炉头，配电子点火开关装置，带熄火保护装置。</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F07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022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7C7CC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CE6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8142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燃气双头矮汤炉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89EFA">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1300×700×500mm，整体采用304#不锈钢拉丝板；炉面板边框采用≥1.5mm厚不锈钢拉丝板；炉面用采用≥2.5mm厚A3钢板做第二层衬板，炉架面与炉台面之间必修填充硅酸盐棉隔热；炉身采用≥1.2mm厚不锈钢拉丝板，炉背采用≥1.2mm厚不锈钢拉丝板；炉体骨架采用40mm*40mm*4mm角铁，炉脚采用φ2"无缝钢管内含钢柱配不锈钢加重调整脚；炉头: 8寸强力炉头，配电子点火开关装置，带熄火保护装置。</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8A1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5BF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33CFB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0AF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B64E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燃气大锅灶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1AFEA">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1200×1200×800mm，整体采用304#不锈钢拉丝板制作；炉面板及边框采用厚度≥1.5mm厚不锈钢拉丝板，炉面整体冲压工艺；炉面用≥2.5mm厚A3钢板做第二层衬板，炉架面与炉台面之间必修填充硅酸盐棉隔热，炉膛采用≥2.0mm厚A3钢板,炉膛内采用耐火层隔热及整体耐火砖砌筑火位，炉用鼓风机必须配制防水鼓风风机；炉身采用≥1.2mm 厚不锈钢拉丝板，炉背采用≥1.2mm厚不锈钢拉丝板；炉体骨架采用40mm*40mm*4mm镀锌角铁，炉脚采用φ2"无缝钢管内含钢柱配可调子弹脚；配5寸混风式铸铁节能鼓风炉头，配电子点火开关装置，带熄火保护装置；安装控制阀，连接上下水，下水采用硬质塑料管；含配套加厚炒锅1个，优质304#不锈钢摇摆龙头1个；配不锈钢加重调整脚4个。</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C2A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C04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6B19F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D34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B0BE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燃气双头双尾炒炉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0BBC3">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尺寸约2200×1200×800mm，整体采用304#不锈钢拉丝板制作；炉面板及边框采用厚度≥1.5mm厚不锈钢拉丝板，炉面整体冲压工艺；炉面用≥2.5mm厚A3钢板做第二层衬板，炉架面与炉台面之间必修填充硅酸盐棉隔热，炉膛采用≥2.0mm厚A3钢板,炉膛内采用耐火层隔热及整体耐火砖砌筑火位，炉用鼓风机必须配制防水鼓风风机；炉身采用≥1.2mm厚不锈钢拉丝板，炉背采用≥1.2mm厚不锈钢拉丝板；炉体骨架采用40mm*40mm*4mm镀锌角铁，炉脚采用φ2"无缝钢管内含钢柱配可调子弹脚；配4寸混风式铸铁节能鼓风炉头，配电子点火开关装置，带熄火保护装置；安装控制阀，连接上下水，下水采用硬质塑料管；优质304#不锈钢摇摆龙头1个；配不锈钢加重调整脚4个。</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B0A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D46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680AE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D78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716A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燃气双门蒸箱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613F1">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1150×880×1800mm，蒸箱前框采用304#不锈钢拉丝板厚度≥1.5mm；内胆为304#不锈钢厚度≥1.5mm；前面板采用304#不锈钢厚度≥1.2mm；侧板采用304#不锈钢厚度≥1.0mm；蒸箱屉托条采用304#不锈钢厚度≥2.0mm；密封条采用镶入式硅胶密封条，方便拆卸更换；蒸箱锁紧采用不锈钢偏心门锁紧，可调式；下箱骨架采用40*40*4mm国标角钢；蒸箱水箱外壁采用304#不锈钢拉丝板厚度≥2.0mm，蒸箱锅底钢板厚度≥2.5mm；水箱采用高效往复式循环管结构,内循环Φ76mm不锈钢管4根,厚度≥3mm；每个蒸箱都配备自动补水箱；燃气接口：Φ25，进/排水15mm/40mm；配喷射式环保炉头，配备脉冲电子打火，熄火保护装置。</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D6B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EBD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30909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71C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12CE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撞击流排烟罩（</w:t>
            </w:r>
            <w:r>
              <w:rPr>
                <w:rFonts w:hint="default" w:ascii="Times New Roman" w:hAnsi="Times New Roman" w:eastAsia="宋体" w:cs="Times New Roman"/>
                <w:b/>
                <w:bCs/>
                <w:sz w:val="24"/>
                <w:szCs w:val="24"/>
              </w:rPr>
              <w:t>核心产品</w:t>
            </w:r>
            <w:r>
              <w:rPr>
                <w:rFonts w:hint="default" w:ascii="Times New Roman" w:hAnsi="Times New Roman" w:eastAsia="宋体" w:cs="Times New Roman"/>
                <w:b/>
                <w:bCs/>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DB5CF">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1.尺寸约15000×1600×500mm，运水烟罩壳体采用304#≥1.2mm不锈钢板；挡板采用304#≥1.2mm不锈钢板；运水烟罩铝质混水轮，每1米配一套；运水烟罩水化率为93%运水烟罩隔烟及味之百分率为55%。</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040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38A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r>
      <w:tr w14:paraId="12B34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022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3ED9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控制箱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B1AFB">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1.尺寸约600×600×1700mm，通体采用304#≥1.2mm全不锈钢外壳；自动循环水系统，短期停水可正常运转，有过载保护；采用微电脑控制系统；功率：3KW；电压：220V。</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213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1BD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06EF0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4F1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1700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保鲜工作台（风冷）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7176E">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1.尺寸约1800×760×800mm，温度范围：+1℃～+4℃；冷媒种类：R134a；容量：≥400L；电功率：0.34KW 220V/1PH/50Hz；内外采用优质304#不锈钢拉丝板；50mm厚高密度聚氨酯隔热发泡层；≥1.2mm厚不锈钢防刮花台面；内部采用圆角设计，可放置≥4个GN2/1浸塑层网和≥4组不锈钢可拆卸托架；门配锁，门框内装配可更换发热线，以防止门边结露；可拆卸式5气囊磁吸门封胶边；配150mm高不锈钢可调承重脚或可选配转向脚轮；按键式电子温度控制系统:手动、自动电热化霜,蒸发器风扇控制,快速冷却功能；风冷循环系统可快速降温并使温度达到均匀；自动除霜功能:+1℃以上为吹风式；±0℃或+1℃以下为电热管除霜；高压自动蒸发冷凝水；优质压缩机，抽拉式冷冻机组，方便维保清洁，安装环境温度最高为43℃。</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8E4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251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r>
      <w:tr w14:paraId="10C9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D92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7411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调料车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2FF5F">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1.尺寸约540×720×800mm，采用304#m不锈钢拉丝板，车盘托板为≥1.2mm厚不锈钢结构；车身为38*381.5mm厚不锈钢方管；车配有4个灵活静音方向活动脚轮，其中两个带有锁紧装备。</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0CD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B67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14:paraId="68F06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4D4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C235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墩布池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B21C0">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600×600×500mm，整体采用304#不锈钢拉丝板制作；台面板采用304#不锈钢拉丝板厚度≥1.5mm，配厚度≥1.2mm不锈钢方管做加力筋；星盆采用304#不锈钢拉丝板，厚度≥1.5mm；座台式双孔双温水龙头主体黄铜铸造；台脚采用Φ38mm厚度为≥1.5mm不锈钢圆通，横撑φ25*1.5mm不锈钢圆管，配可调不锈钢子弹脚；水槽底部承受100KG载荷，其变形量≤0.30mm。</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F13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D88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14:paraId="575E8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3DF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AB61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单通工作柜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41E18">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1500×760×800mm，采用304#不锈钢拉丝板，柜台面为≥1.5mm厚不锈钢结构，台面下垫衬木板，并有加强筋，满足卫生和清洁要求；层板及围板为≥1.2mm厚不锈钢结构，门为≥1.0mm厚不锈钢结构，配吊式移门，移门采用滑悬挂轮双向推拉门（柜门下部便于清洗）；柜脚配不锈钢可调节重力脚。</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064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BE0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35FD3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309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3AC3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四格保温售饭柜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80DF4">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1500×760×800mm，采用304#不锈钢拉丝板，台面及保温池为≥1.5mm厚不锈钢结构，满足卫生和清洁要求；围板及底板为≥1.2mm厚不锈钢结构；门为≥0.8mm厚不锈钢结构，配吊式移门，移门采用滑悬挂轮双向推拉门（柜门下部便于清洗）；柜脚采用不锈钢可调节重力脚；保温台选用数字温度控制板及配有漏电保护；功率/电压：3KW/220V。</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50F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260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r>
      <w:tr w14:paraId="6F1A0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5BE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2E5E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双层工作台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57D8E">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1200×600×800mm，采用304#不锈钢拉丝板，台面为≥1.5mm厚不锈钢结构，台面下垫衬木板，并有加强筋，下层板为≥1.2mm厚不锈钢结构；工作台腿采用50×50×1.2mm厚不锈钢方管，下带四个50mm可调节不锈钢子弹脚。</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88A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D82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r>
      <w:tr w14:paraId="6F55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F40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4D1B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单星盆台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AB8AC">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600×600×800mm，整体采用304#不锈钢拉丝板制作；台面板采用304#不锈钢拉丝板厚度≥1.5mm，配厚度≥1.2mm不锈钢方管做加力筋；星盆采用304#不锈钢拉丝板，厚度≥1.5mm；座台式双孔双温水龙头主体黄铜铸造；台脚采用Φ38mm厚度为≥1.5mm不锈钢圆通，横撑φ25*1.5mm不锈钢圆管，配可调不锈钢子弹脚；水槽底部承受100KG载荷，其变形量≤0.30mm。</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03E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6E9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14:paraId="288BB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4AE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E21D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保鲜工作台（风冷）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FACC7">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1.尺寸约1800×760×800mm，温度范围：+1℃～+4℃；冷媒种类：R134a；容量：≥400L；电功率：0.34KW 220V/1PH/50Hz；内外采用优质304#不锈钢拉丝板；50mm厚高密度聚氨酯隔热发泡层；≥1.2mm厚不锈钢防刮花台面；内部采用圆角设计，可放置≥4个GN2/1浸塑层网和≥4组不锈钢可拆卸托架；门配锁，门框内装配可更换发热线，以防止门边结露；可拆卸式5气囊磁吸门封胶边；配150mm高不锈钢可调承重脚或可选配转向脚轮；按键式电子温度控制系统:手动、自动电热化霜,蒸发器风扇控制,快速冷却功能；风冷循环系统可快速降温并使温度达到均匀；自动除霜功能:+1℃以上为吹风式；±0℃或+1℃以下为电热管除霜；高压自动蒸发冷凝水；优质压缩机，抽拉式冷冻机组，方便维保清洁，安装环境温度最高为43℃。</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252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B62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3220E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B3D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4D47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电力双眼煮面炉连柜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5BE7D">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功率：15kw*2，电压380V，尺寸：1500*750*800+30mm；煮面桶≥φ500mm*H350mm，底部厚度≥2mm,侧壁厚度≥1.7mm；电磁感应加热，火力输出热值高，加热面积大，均匀受热ADD磁电引擎，数字驱动、多级防护，适用各种厨房环境，确保设备安全可靠；喇叭形隧道散热风道设计、散热快，电子器件与风道完全隔离，避免油烟侵蚀电路；PPS齿形线盘组件，磁场分布均匀、发热低、损耗小、不偏火、不烧线盘；全SUS304不锈钢机身，炉面板厚度≥1.7mm，前面板、侧面板、背板、后封板、底板厚度≥0.8mm；一体成型台面设计，框架结构设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2.所投商用电磁煮面炉的机芯、线圈盘通过最新国标，高低温 / 低气压 / 振动（正弦）综合试验：低温-25±3℃、高温70℃，气压0.5kPa，频率 10-55-500Hz、振幅±3.5mm、最大加速度10m/s²，扫频速率1oct/min，三轴向（XYZ 轴）各 100 次，外观无变化、结构无变形、通电运行正常。</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70A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7CB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05A0E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45D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AF5F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电力熬汤炉连柜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8BBB2">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功率：15kw，电压380V，尺寸：750*750*800+30mm；煮面锅≥φ500mm*H350mm，锅体采用：复合锅底（Q235B+SUS304）复合锅底；锅采用球底设计，相比平底设计，球底设计在煲汤、煮面时能够形成环流立体加热，双向滚动沸腾，使食材充分受热，在滚动中更加均匀；ADD磁电引擎，数字驱动、多级防护，适用各种厨房环境，确保设备安全可靠；喇叭形隧道散热风道设计、散热快，电子器件与风道完全隔离，避免油烟侵蚀电路；PPS齿形线盘组件，磁场分布均匀、发热低、损耗小、不偏火、不烧线盘；全SUS304不锈钢机身，炉面板厚度≥1.7mm，前面板、侧面板、背板、后封板、底板厚度≥0.8mm；一体成型台面设计，框架结构设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2.所投商用电磁煮面炉的机芯、线圈盘通过依据最新国标，高低温 / 低气压 / 振动（正弦）综合试验：低温 - 25±3℃、高温 70℃，气压 0.5kPa，频率 10-55-500Hz、振幅 ±3.5mm、最大加速度 10m/s²，扫频速率 1oct/min，三轴向（XYZ 轴）各 100 次，外观无变化、结构无变形、通电运行正常。</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C7A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08C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3D5FC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CE7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0AAD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电力麻辣汤炉连柜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5C902">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功率：12KW*2，电压：380V，1200*750*800+30mm；两套电磁加热系统+2个独立煮面水箱，独立控制，互不干扰，面缸材质：SUS304+SUS443，单缸尺寸：L500*W500*H300mm，底部厚度≥2mm,侧壁厚度≥1.7mm，标配18个φ140mm煮面笼；ADD磁电引擎，数字驱动、多级防护，适用各种厨房环境，确保设备安全可靠；IPX4标准防水设计，四面可直接喷淋；按键式温度调节，可调温度30~100℃；宽电压设计；面板SUS304不锈钢，厚度度≥1.7mm，侧板厚度≥0.8mm；</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2.商用电磁灶零部件（含机芯、线圈盘）须通过依据最新国标，Cl₂浓度 10×10⁻⁵vol/vol、H₂S 浓度 10×10⁻⁵vol/vol、NO₂浓度 (200±20)×10⁻⁶vol/vol、SO₂浓度 (200±20)×10⁻⁶vol/vol，温度40±1℃，相对湿度80±3%，气体每小时更换10次，试验持续时间500h，外观检查表面完好无腐蚀。</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5BF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EC8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0DFEC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38F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26C8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电磁四头煲仔炉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FB36F">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功率：3.5KW*4，电压380V，尺寸约：800*750*800+30mm；聚能线圈盘，火力均匀强劲；独立一体化机芯：每个炉头都有一套独立的“散热+三防+电路”系统，每套系统独立运行，互不干扰，适用复杂的商用厨房环境；每个炉头机芯内置单独空开控制，故障时不影响其他炉头正常使用；旋转式五档火力轻松调节；一体折弯门把手；面板SUS304不锈钢，厚度≥1.2mm，侧板SUS201，厚度≥0.8mm；无明火，无烟尘，无废气，低噪音，优化厨房环境，电磁感应加热；超宽工作电压设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▲2.所投3.5KW*4的商用电磁煲仔炉须提供依据最新国标，热效率≥90%且能效等级为1级的检测报告。</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9F9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7D4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4AA77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ED3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D350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电力全平扒炉连柜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F5296">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功率：12KW，电压380V，尺寸约：800*750*800+30mm；特制扒板表层，扒板尺寸≥680mm*510mm，煎炒不易粘底；台面SUS304不锈钢，厚度≥1.7mm；侧板SUS201不锈钢，厚度≥0.8mm；采用两组按键式温度调节开关，可选择1/3区域、2/3区域、全区域加热，调温（50~350℃）；一体成型台面设计，框架结构设计，防水、防油烟、防虫；宽电压设计；</w:t>
            </w:r>
          </w:p>
          <w:p w14:paraId="3ABB704F">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2.煎板在300℃时，砷、镉、铅、锑、铝、铬、钴、铜、锰、钼、镍、锡、锌迁移量符合最新国标；</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0D0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675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333C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EC6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DA6C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电力炸炉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A4B0D">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功率：24KW，电压380V，容积约：20L*2，尺寸约：800*750*800+30mm；升温快，温控范围大，均匀受热；IPX4标准防水设计，四面可直接喷淋；按键式温度调节，可调温度50~210℃，根据食材烹饪所需温度自动调节功率输出，保持恒定温度；宽电压设计；面板SUS304不锈钢，厚度≥1.7mm；侧板SUS201不锈钢，厚度≥0.8mm；一体成型台面设计，框架结构设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2.内胆、炸篮在300℃时，砷、镉、铅、锑、铝、铬、钴、铜、锰、钼、镍、锡、锌迁移量符合最新国标。</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D6E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5DA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04756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C46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FB5A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撞击流排烟罩（</w:t>
            </w:r>
            <w:r>
              <w:rPr>
                <w:rFonts w:hint="default" w:ascii="Times New Roman" w:hAnsi="Times New Roman" w:eastAsia="宋体" w:cs="Times New Roman"/>
                <w:b/>
                <w:bCs/>
                <w:sz w:val="24"/>
                <w:szCs w:val="24"/>
              </w:rPr>
              <w:t>核心产品</w:t>
            </w:r>
            <w:r>
              <w:rPr>
                <w:rFonts w:hint="default" w:ascii="Times New Roman" w:hAnsi="Times New Roman" w:eastAsia="宋体" w:cs="Times New Roman"/>
                <w:b/>
                <w:bCs/>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E66D3">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1.尺寸约6000×1200×500mm，运水烟罩壳体采用304#≥1.2mm不锈钢板；挡板采用304#≥1.2mm不锈钢板；运水烟罩铝质混水轮，每1米配一套；运水烟罩水化率为93%；运水烟罩隔烟及味之百分率为55%。</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C87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254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5.64</w:t>
            </w:r>
          </w:p>
        </w:tc>
      </w:tr>
      <w:tr w14:paraId="1165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FCF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F4AF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控制箱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15ECB">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1.尺寸约600×600×1700mm。</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F53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B56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7D30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9BD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3172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消毒柜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7F2D1">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1.尺寸约1200×550×1920mm；超大功率消毒，125摄氏度立体循环风高温杀菌、杀毒效果彻底、无死角；超高温保险防止意外操作失误；温度范围：20-125℃；消毒方式：热风循环；容积：≥720L；电压：220v；功率：4.4kw。</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B3A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CF3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r>
      <w:tr w14:paraId="0A7D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5B7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6B96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残食台柜带推车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A3ECA">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1.尺寸约1500×760×800mm+150mm，采用304#不锈钢拉丝板，台面为≥1.5mm厚不锈钢结构，台面下垫衬木板，并有加强筋；工作台腿采用50×50×1.2mm厚不锈钢方管，下带四个50mm可调节不锈钢子弹脚。</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FB1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C35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32D23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EB4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72B3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洗手池柜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98700">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1500×600×800+150mm，整体采用304#不锈钢拉丝板制作；台面板采用304#不锈钢拉丝板厚度≥1.5mm，配厚度≥1.2mm不锈钢方管做加力筋；星盆采用304#不锈钢拉丝板，厚度≥1.5mm；座台式双孔双温水龙头主体黄铜铸造；台脚采用Φ38mm厚度为≥1.5mm不锈钢圆通，横撑φ25*1.5mm不锈钢圆管，配可调不锈钢子弹脚；水槽底部承受100KG载荷，其变形量≤0.30mm。</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F0A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CD0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4A3DF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807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2096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灭蝇灯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3217D">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1.尺寸约500×120×290mm，额定功率:45W/220V/50HZ；灯管:15w灯管；材质:全新ABS料；理论覆盖面积: 60-90㎡；</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粘纸标配:10张/台；粘捕纸尺寸:43*9cm。</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0C8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F45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r>
      <w:tr w14:paraId="3454D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F1F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0273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紫外线消毒灯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7FB0F">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1260×130×140mm，石英管状玻璃外壳+灯架；发射短波紫外线辐射，波长：185-253.7nm(UV-C)；具有杀菌的作用，把臭氧的波长为185nm的辐射过滤掉，杀死细菌、病毒及其他微生物或使之失去活性；电功率为220v/30w。</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5C8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根</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1FC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r>
      <w:tr w14:paraId="5A4EF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857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8A47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四层平板货架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2FB6F">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1200×500×1500mm，采用304#不锈钢拉丝板，层板全部为≥1.5mm厚不锈钢结构，满足卫生和清洁要求；货架体与货架层板的连接点均焊接抛光；货架层板底部采用加强筋，厚度为≥1.2mm；货架体采用φ38㎜×1.2mm厚不锈钢圆管；配不锈钢可调节子弹脚。</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7C8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F11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r>
      <w:tr w14:paraId="47C21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B37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A8F3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米面架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A9E49">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1.尺寸约1200×500×200mm，架体采用38*38mm*1.5mm不锈钢方管焊接；横撑采用25*25mm*1.2mm不锈钢方管焊接；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架腿用φ38㎜×1.2mm厚不锈钢圆管焊接组成配不锈钢可调节子弹脚。</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B4C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B00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r>
      <w:tr w14:paraId="6883E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C7A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E3C3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保鲜工作台（风冷）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5833B">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1.尺寸约1800×760×800mm，温度范围：+1℃～+4℃；冷媒种类：R134a ；容量：≥400L；电功率：0.34KW 220V/1PH/50Hz；内外采用优质304#不锈钢拉丝板；50mm厚高密度聚氨酯隔热发泡层；≥1.2mm厚不锈钢防刮花台面；内部采用圆角设计，可放置≥4个GN2/1浸塑层网和≥4组不锈钢可拆卸托架；门配锁，门框内装配可更换发热线，以防止门边结露；可拆卸式5气囊磁吸门封胶边；配150mm高不锈钢可调承重脚或配转向脚轮；按键式电子温度控制系统:手动、自动电热化霜,蒸发器风扇控制,快速冷却功能；风冷循环系统可快速降温并使温度达到均匀；自动除霜功能:+1℃以上为吹风式；±0℃或+1℃以下为电热管除霜；高压自动蒸发冷凝水；优质压缩机，抽拉式冷冻机组，方便维保清洁，安装环境温度最高为43℃。</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C2E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7C9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7212B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DA9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3F7D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锯骨机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D3717">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1.电压：220V 功率≤1800w；工作效率：200-500kg/h；外形尺寸：660*550*1150mm（±5%）、可切割最大尺寸：宽235*310mm、锯条尺寸：2100mm；设备需设有安全连锁机构（开门可自动断电停机）及紧急停止按钮（紧急情况下可一键停机）等安全装置保障安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2.所投设备依据最新国标，通过食品接触产品卫生认证试验，试验结论合格。且设备外壳、刀具通过最新国标试验对理化指标：铅、锑、铬、锰、镍、镉、砷等进行检测，第三次迁移试验结果均为合格；（投标人所提供的资料必须真实有效，须提供有效的第三方检测（试验）报告扫描件佐证，评标委员会有权对原件进行核查。）</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3.抗拉强度、规定塑性延伸强度、断后伸长率、弯曲试验、维氏硬度检测结果均符合最新国标要求。</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067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98A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1BCAB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87E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2483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菜馅机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C1DCF">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1.功率1.5kw 220V 产量：180kg/h，外形尺寸：约780*710*940mm，外壳不锈钢材质；</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2.所投设备依据最新国标，通过食品接触产品卫生认证试验，试验结论合格。且①设备外壳、刀具通过最新国标试验对理化指标：铅、锑、铬、锰、镍、镉、砷等进行检测，第三次迁移试验结果均为合格；②输送带通过最新国标试验对理化指标：总迁移量、高锰酸钾消耗量、重金属、脱色试验检测，试验结果均为合格；（投标人所提供的资料必须真实有效，须提供有效的第三方检测（试验）报告扫描件佐证，评标委员会有权对原件进行核查。）</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3.抗拉强度、规定塑性延伸强度、断后伸长率、弯曲试验、维氏硬度检测结果均符合最新国标要求。</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74A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F5F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3273D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3EA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E2A37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脱水机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B8DDB">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描述：用于将清洗完的食材通过高速旋转甩干表面水分。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1.电压：220V 功率≤1.5kw；工作效率：300-500kg/h；外形尺寸：910*640*1080mm（±5%）；设备配备紧急停止按钮（紧急情况下可一键停机）等安全装置保障安全；设备配备防护门有效解决碎料飞溅等问题且防护门打开时设备自动停机；</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2.所投设备依据最新国标，通过食品接触产品卫生认证试验，试验结论合格，且设备外壳通过最新国标试验对理化指标：铅、锑、铬、锰、镍、镉、砷等进行检测，第三次迁移试验结果均为合格；（投标人所提供的资料必须真实有效，须提供有效的第三方检测（试验）报告扫描件佐证，评标委员会有权对原件进行核查）</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3.抗拉强度、规定塑性延伸强度、断后伸长率、弯曲试验、维氏硬度检测结果均符合最新国标要求。</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070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33D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19AD7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BB4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5E93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电力双眼煮面炉连柜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9715F">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功率：15kw*2，电压380V，尺寸：1500*750*800+30mm；煮面桶≥φ500mm*H350mm，底部厚度≥2mm,侧壁厚度≥1.7mm；电磁感应加热，火力输出热值高，加热面积大，均匀受热；ADD磁电引擎，数字驱动、多级防护，适用各种厨房环境，确保设备安全可靠；喇叭形隧道散热风道设计、散热快，电子器件与风道完全隔离，避免油烟侵蚀电路；PPS齿形线盘组件，磁场分布均匀、发热低、损耗小、不偏火、不烧线盘；全SUS304不锈钢机身，炉面板厚度≥1.7mm，前面板、侧面板、背板、后封板、底板厚度≥0.8mm；一体成型台面设计，框架结构设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2.所投商用电磁煮面炉的机芯、线圈盘通过最新国标，高低温 / 低气压 / 振动（正弦）综合试验：低温-25±3℃、高温70℃，气压0.5kPa，频率 10-55-500Hz、振幅±3.5mm、最大加速度10m/s²，扫频速率1oct/min，三轴向（XYZ 轴）各100次，外观无变化、结构无变形、通电运行正常。</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951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BE5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23473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CB1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D82E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电力熬汤炉连柜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39C4D">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功率：15kw，电压380V，尺寸：750*750*800+30mm；煮面锅≥φ500mm*H350mm，锅体采用：复合锅底（Q235B+SUS304）复合锅底；锅采用球底设计，相比平底设计，球底设计在煲汤、煮面时能够形成环流立体加热，双向滚动沸腾，使食材充分受热，在滚动中更加均匀；ADD磁电引擎，数字驱动、多级防护，适用各种厨房环境，确保设备安全可靠；喇叭形隧道散热风道设计、散热快，电子器件与风道完全隔离，避免油烟侵蚀电路；PPS齿形线盘组件，磁场分布均匀、发热低、损耗小、不偏火、不烧线盘；全SUS304不锈钢机身，炉面板厚度≥1.7mm，前面板、侧面板、背板、后封板、底板厚度≥0.8mm；一体成型台面设计，框架结构设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2.所投商用电磁煮面炉的机芯、线圈盘通过最新国标，高低温 / 低气压 / 振动（正弦）综合试验：低温-25±3℃、高温70℃，气压0.5kPa，频率 10-55-500Hz、振幅±3.5mm、最大加速度10m/s²，扫频速率1oct/min，三轴向（XYZ 轴）各100次，外观无变化、结构无变形、通电运行正常</w:t>
            </w:r>
            <w:r>
              <w:rPr>
                <w:rFonts w:hint="default" w:ascii="Times New Roman" w:hAnsi="Times New Roman" w:eastAsia="宋体" w:cs="Times New Roman"/>
                <w:i w:val="0"/>
                <w:iCs w:val="0"/>
                <w:color w:val="000000"/>
                <w:kern w:val="0"/>
                <w:sz w:val="24"/>
                <w:szCs w:val="24"/>
                <w:u w:val="none"/>
                <w:lang w:val="en-US" w:eastAsia="zh-CN" w:bidi="ar"/>
              </w:rPr>
              <w:t>。</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A8D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1AA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7C12F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713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9330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电力麻辣汤炉连柜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DE7AE">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功率：12KW*2，电压：380V，1200*750*800+30mm；两套电磁加热系统+2个独立煮面水箱，独立控制，互不干扰，面缸材质：SUS304+SUS443，单缸尺寸：L500*W500*H300mm，底部厚度≥2mm,侧壁厚度≥1.7mm，标配18个φ140mm煮面笼；ADD磁电引擎，数字驱动、多级防护，适用各种厨房环境，确保设备安全可靠；IPX4标准防水设计，四面可直接喷淋；按键式温度调节，可调温度30~100℃；宽电压设计；面板SUS304不锈钢，厚度度≥1.7mm，侧板厚度≥0.8mm；</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2.商用电磁灶零部件（含机芯、线圈盘）须通过依据最新国标，Cl₂浓度 10×10⁻⁵vol/vol、H₂S 浓度 10×10⁻⁵vol/vol、NO₂浓度 (200±20)×10⁻⁶vol/vol、SO₂浓度 (200±20)×10⁻⁶vol/vol，温度40±1℃，相对湿度80±3%，气体每小时更换10次，试验持续时间500h，外观检查表面完好无腐蚀。</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0EB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0CD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20807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F7D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E15B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四人桌子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FE8FD">
            <w:pPr>
              <w:rPr>
                <w:rFonts w:hint="default" w:ascii="Times New Roman" w:hAnsi="Times New Roman" w:eastAsia="宋体" w:cs="Times New Roman"/>
                <w:sz w:val="24"/>
                <w:szCs w:val="24"/>
              </w:rPr>
            </w:pPr>
            <w:r>
              <w:rPr>
                <w:rFonts w:hint="default" w:ascii="Times New Roman" w:hAnsi="Times New Roman" w:eastAsia="宋体" w:cs="Times New Roman"/>
                <w:i w:val="0"/>
                <w:iCs w:val="0"/>
                <w:color w:val="000000"/>
                <w:kern w:val="0"/>
                <w:sz w:val="24"/>
                <w:szCs w:val="24"/>
                <w:highlight w:val="none"/>
                <w:u w:val="none"/>
                <w:lang w:val="en-US" w:eastAsia="zh-CN" w:bidi="ar"/>
              </w:rPr>
              <w:t>1.餐桌桌面尺寸1200/700/750mm，材质：优质三聚氰胺板饰面，刨花板基材，拉丝不锈钢桌架含配重底盘，优质五金配件，圆立柱直径76mm，底盘400/700mm，桌面四角直角机器PVC封边工艺。</w:t>
            </w:r>
          </w:p>
          <w:p w14:paraId="026F4A6A">
            <w:pPr>
              <w:rPr>
                <w:rFonts w:hint="default" w:ascii="Times New Roman" w:hAnsi="Times New Roman" w:eastAsia="宋体" w:cs="Times New Roman"/>
                <w:sz w:val="24"/>
                <w:szCs w:val="24"/>
              </w:rPr>
            </w:pPr>
          </w:p>
          <w:p w14:paraId="21959CB0">
            <w:pPr>
              <w:keepNext w:val="0"/>
              <w:keepLines w:val="0"/>
              <w:widowControl/>
              <w:suppressLineNumbers w:val="0"/>
              <w:spacing w:line="360" w:lineRule="auto"/>
              <w:jc w:val="left"/>
              <w:textAlignment w:val="auto"/>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甲醛释放量≤0.05mg/m³，产品有害物质汞≤0.03mg/m³，产品有害物质甲苯≤0.08mg/m³，产品有害物质二甲苯≤0.10mg/m³，静曲强度≥24，表面胶合强度≥0.60，2h吸水厚度膨胀率≤0.80，甲醛释放量≤0.124。</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25B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张</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F27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385</w:t>
            </w:r>
          </w:p>
        </w:tc>
      </w:tr>
      <w:tr w14:paraId="483D5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233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B9DB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椅子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9E4D8">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rPr>
              <w:t>1.餐椅采用PP加玻纤材质，尺寸宽410mm×长430mm×高390mm，总高800mm，椅架采用钢管19圆管厚度1.5mm，表面高温静电白色喷涂工艺；</w:t>
            </w:r>
            <w:r>
              <w:rPr>
                <w:rFonts w:hint="default" w:ascii="Times New Roman" w:hAnsi="Times New Roman" w:eastAsia="宋体" w:cs="Times New Roman"/>
                <w:i w:val="0"/>
                <w:iCs w:val="0"/>
                <w:color w:val="000000"/>
                <w:kern w:val="0"/>
                <w:sz w:val="24"/>
                <w:szCs w:val="24"/>
                <w:highlight w:val="none"/>
                <w:u w:val="none"/>
                <w:lang w:val="en-US" w:eastAsia="zh-CN" w:bidi="ar"/>
              </w:rPr>
              <w:t>DBP,BBP,DEHP,DNOP,DINP,DIDP有害物质限量≤0.1的。</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871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张</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D25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1540</w:t>
            </w:r>
          </w:p>
        </w:tc>
      </w:tr>
      <w:tr w14:paraId="72C9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785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55BD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弯头45度下弯出风口加防虫网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EE5B1">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1.尺寸约1200×1200mm，采用1.2mm厚镀锌板。</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89B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98D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2A70A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38B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6F0E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软连接口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5CCDE">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1.配套，采用国标帆布制作。</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E79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AD8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471F5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6F5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DC04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排烟风柜连支架/减震器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F68BF">
            <w:pPr>
              <w:keepNext w:val="0"/>
              <w:keepLines w:val="0"/>
              <w:widowControl/>
              <w:numPr>
                <w:ilvl w:val="0"/>
                <w:numId w:val="3"/>
              </w:numPr>
              <w:suppressLineNumbers w:val="0"/>
              <w:spacing w:line="360" w:lineRule="auto"/>
              <w:jc w:val="both"/>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功率：18.5kw，整机外壳采用钢板制作工艺；根据离心力和动量守恒定律设计风机专用高压叶轮，叶片采用压铆激光焊接工艺制作；内部采用双层静音处理技术，全网加静音棉，静音棉材质为铝硅阻燃材料，厚度≥25MM，降低15%噪声并起到阻燃作用，整机精密结构胶密封工艺，强化降噪效果和防水密封效果；需采用耐高温耐腐蚀风机专用轴承；产品配备自动定时变频功能，可调节风量风压，多重保护，缺项，过载，绝缘损坏等运行故障；采用镀锌角钢制作，风机设有检修门，底部自带槽钢支架；</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2.所投产品依据最新国标，符合防腐蚀性能评级:10级，提供金属厨房用品防腐蚀性能认证证书，证书信息于“全国认证认可信息公共服务平台”网站可查询；</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3.所投产品外壳依据最新国标开展点腐蚀试验，试验溶液为6% FeCl₃溶液，试验时间不少于70h，实测腐蚀速率≤13.2 g/(m²·h)，试验数据真实有效。</w:t>
            </w:r>
          </w:p>
          <w:p w14:paraId="64E5886E">
            <w:pPr>
              <w:keepNext w:val="0"/>
              <w:keepLines w:val="0"/>
              <w:widowControl/>
              <w:numPr>
                <w:ilvl w:val="-1"/>
                <w:numId w:val="0"/>
              </w:numPr>
              <w:suppressLineNumbers w:val="0"/>
              <w:spacing w:line="360" w:lineRule="auto"/>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4.所投产品外壳依据最新国标，采用48h循环盐雾腐蚀试验，单循环流程为“盐雾(2h)→干(4h)→湿(2h)”；其中盐雾阶段氯化钠浓度为(50±5) g/L、温度 (35±1)℃、pH值6.5~7.2；干阶段温度(60±1)℃、相对湿度&lt;30% RH；湿阶段温度(50±1)℃、相对湿度&gt;95% RH。样品基体金属腐蚀面积≤总面积的0.1%，Rp≥9，判定为合格。</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8C7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32F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4428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291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3767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消音房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78C82">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1.尺寸约2600×2600×2800mm，面板为≥1.2mm厚SUS304#不锈钢板，内夹玻璃消音棉。</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626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5FB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60B4A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FCC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F18E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消音器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8F8E7">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1.尺寸约1200×1200×1000mm，面板为≥1.2mm厚SUS304#不锈钢板，内夹玻璃消音棉。</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FFF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B72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1CF8F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419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0BC2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排烟管道变径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478A0">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1.尺寸约1200×1200mm，采用≥1.2mm厚镀锌板。</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CEA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841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52105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480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8DF5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油烟净化器连支架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405B6">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处理风量：48000m³/h；尺寸约1035*1559*1852mm，油烟净化率高达95%以上，油烟排放浓度小于2.0m³/h，符合国家环保低空排放标准；采用优质不锈钢外壳，表面平整度达工业级标准，防水防腐适用于户外及高湿度场景；双区电离设计：高压放电区：不锈钢锯齿放电（放电密度提升 25%），实现 0.1μm 级油烟颗粒荷电，低压集尘区：不锈钢平行极板折弯成型，吸附效率较普通电场提升30%，极板的间距≤8mm,以保证净化效果；设备主体绝缘子采用陶瓷绝缘子，避免因绝缘子绝缘性不好或不耐高温造成的陶瓷击穿或烧毁现象；采用高低压电源，集成软启动、过载/短路/开路保护，支持多次打火自恢复；灭弧功能可抑制异常放电，防结雾设计避免电场因湿度失效。自适应控制：内置MCU芯片实时监测油烟浓度，自动调节输出电压（10-12kV 动态范围），油烟激增时功率提升20%，低负荷时节能30%；采用模块化设计，内部采用多连串多单元组合方式，易于安装清洗方便支持烧碱溶液浸泡清洗，维护后无需复杂校准；</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2.产品依据最新国标，检测蠕变试验初始应力(σ)150MPa，持续时间24h，总伸长率≥0.04%，初始伸长率≥0.05%，弹性伸长率≥0.05%，检测结果未断裂。</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3.所投产品外壳依据最新国标，进行铜盐加速乙酸盐雾试验(CASS)48h，检测结果10级；</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4.所投产品设备聚氯乙烯绝缘电缆检测标准依据最新国标，经150℃×168h热老化后，抗张强度变化率不应超过±2%，断裂伸长率变化率不应超过±30%；失重试验（80℃×168h）失重值≤1.0 mg/cm²；高温压力试验（70℃×4h，0.99N）压痕深度≤5% 。</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BAF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B11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0E12D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0E3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6BFE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止回阀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7E8CB">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1.尺寸约1000×1000mm，阀阀体构架用2毫米镀锌板冷轧制作；排油管道止回阀是用于防止油污或烟气倒流的单向阀门。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ACB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524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645B3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B6E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DA77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150度防火阀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3C345">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1.尺寸约1000×1000mm，设备为熔断式防火阀，采用≥3.0mm厚冷扎板并进行喷涂处理制作；阀门平时常开，当管道内温度达到易熔片150摄氏度时自动将阀门关闭；可手动复位，手动关闭。</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AC2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843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7179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378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97D8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排烟管道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5EABF">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1.尺寸约1000×1000mm，采用≥1.2mm厚镀锌板。</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1CC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201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111.2</w:t>
            </w:r>
          </w:p>
        </w:tc>
      </w:tr>
      <w:tr w14:paraId="5D608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074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4E69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弯头45度下弯出风口加防虫网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8E9EF">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1.尺寸约1000×700，采用≥1.2mm厚镀锌板。</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7FD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C7C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0334A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288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BD62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软连接口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531D2">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1.配套，采用国标帆布制作。</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27A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A63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11109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7E1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7C29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排烟风柜连支架/减震器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EA926">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功率：5.5kw，尺寸约1085*1260*1485mm，整机外壳采用钢板制作工艺；根据离心力和动量守恒定律设计风机专用高压叶轮，叶片采用压铆激光焊接工艺制作；内部采用双层静音处理技术，全网加静音棉，静音棉材质为铝硅阻燃材料，厚度≥25MM，降低15%噪声并起到阻燃作用，整机精密结构胶密封工艺，构建高效的隔音屏障与严密的密封体系，起到防水密封的效果；需采用耐高温耐腐蚀风机专用轴承；产品配备自动定时变频功能，可调节风量风压，多重保护，缺项，过载，绝缘损坏等运行故障；采用镀锌角钢制作，风机设有检修门； 底部自带槽钢支架。</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321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0AB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74D5E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A19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203C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消音房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BEA23">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1.尺寸约2000×2000×2200mm，面板为≥1.2mm厚SUS304#不锈钢板，内夹玻璃消音棉。</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A3E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363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2E632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588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E98D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消音器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8A418">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1.尺寸约1000×700×1000mm，面板为≥1.2mm厚SUS304#不锈钢板，内夹玻璃消音棉。</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9EA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601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2CA12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1DB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CA39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排烟管道变径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1C141">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1.尺寸约800×500，采用≥1.2mm厚镀锌板。</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63B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A04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069A0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8D1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ABFF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油烟净化器连支架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B56A3">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处理风量：20000m³/h；尺寸约872*961*1282mm,油烟净化率高达95%以上，油烟排放浓度小于2.0m³/h，符合国家环保低空排放标准；采用优质不锈钢外壳，表面平整度达工业级标准，防水防腐适用于户外及高湿度场景；双区电离设计：高压放电区：不锈钢锯齿放电（放电密度提升 25%），实现 0.1μm 级油烟颗粒荷电，低压集尘区：不锈钢平行极板折弯成型，吸附效率较普通电场提升30%，极板的间距≤8mm；设备主体绝缘子采用陶瓷绝缘子，避免因绝缘子绝缘性不好或不耐高温造成的陶瓷击穿或烧毁现象；采用高低压电源，集成软启动、过载/短路/开路保护，支持多次打火自恢复；灭弧功能可抑制异常放电，防结雾设计避免电场因湿度失效。自适应控制：内置 MCU 芯片实时监测油烟浓度，自动调节输出电压（10-12kV 动态范围），油烟激增时功率提升 20%，低负荷时节能 30%；采用模块化设计，内部采用多连串多单元组合方式，易于安装清洗方便支持烧碱溶液浸泡清洗，维护后无需复杂校准。</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7F9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756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023D2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4AC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CCF8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止回阀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6D3A3">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1.尺寸约800×500mm，阀体构架用2毫米镀锌板冷轧制作；</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排油管道止回阀是用于防止油污或烟气倒流的单向阀门。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79D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FFA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4F389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819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E7C3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150度防火阀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E3910">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1.尺寸约800×500mm，设备为熔断式防火阀，采用≥2.0mm厚冷扎板并进行喷涂处理制作；阀门平时常开，当管道内温度达到易熔片150摄氏度时自动将阀门关闭；可手动复位，手动关闭。</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EA9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9A8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30AF3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01F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B06A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排烟管道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BA102">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1.尺寸约800×500mm，采用1.2mm厚镀锌板。</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6A7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D1C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51.194</w:t>
            </w:r>
          </w:p>
        </w:tc>
      </w:tr>
      <w:tr w14:paraId="47FA2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EAE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2D9F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新风入口防雨百叶风口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B4E28">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1.尺寸约1200×1000mm，采用1.2mm厚镀锌板。</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D78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B53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1AD3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A24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B4CD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止回阀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022D1">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1.尺寸约1000×800mm，阀体构架用2毫米镀锌板冷轧制作；排油管道止回阀是用于防止油污或烟气倒流的单向阀门。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30F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980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4AD3E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FD1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9714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软连接口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104A7">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1.配套，采用国标帆布制作。</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52C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9F81">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2A562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8729">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7126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送鲜风风柜连支架/减震器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8D6CD">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功率：7.5kw，尺寸约1185*1400*1665mm，整机外壳采用钢板制作工艺，根据离心力和动量守恒定律设计风机专用高压叶轮，叶片采用压铆激光焊接工艺制作；内部采用双层静音处理技术，全网加静音棉，静音棉材质为铝硅阻燃材料，厚度≥25MM，降低15%噪声并起到阻燃作用，整机精密结构胶密封工艺，构建高效的隔音屏障与严密的密封体系，强化降噪效果同时起到防水密封的效果；采用耐高温耐腐蚀风机专用轴承；产品配备自动定时变频功能，可调节风量风压，多重保护，缺项，过载，绝缘损坏等运行故障；采用镀锌角钢制作，风机设有检修门，底部自带槽钢支架。</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27D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730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4AA8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3DC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E882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送鲜风管道变径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81329">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1.尺寸约1400×1000mm，采用1.2mm厚镀锌板。</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DB32">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E390">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64037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519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15B67">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70度防火阀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B161A">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1.尺寸约1000×800mm，设备为熔断式防火阀，采用≥2.0mm厚冷扎板并进行喷涂处理制作；阀门平时常开，当管道内温度达到易熔片70摄氏度时自动将阀门关闭；可手动复位，手动关闭。</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9178">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5E7F">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7E985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703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1A914">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送鲜风管道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8E86B">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1.尺寸约1000×800mm,采用≥1.2mm厚镀锌板。</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5F2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121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32.58</w:t>
            </w:r>
          </w:p>
        </w:tc>
      </w:tr>
      <w:tr w14:paraId="2FE42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93FD">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E846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送鲜风管道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D9B2E">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1.尺寸约800×400mm。采用≥1.2mm厚镀锌板。</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428A">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831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41.52</w:t>
            </w:r>
          </w:p>
        </w:tc>
      </w:tr>
      <w:tr w14:paraId="6B48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2BB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486D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调节阀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3688C">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1.尺寸约800×400mm，阀体构架用2毫米镀锌板冷轧制作；风量调节阀可对风量大小进行调节。</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DF3E">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CAC5">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1A53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170C">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A1283">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方形散流器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40886">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1.尺寸约600×600mm，采用优质铝合金制作。</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1196">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2C5B">
            <w:pPr>
              <w:keepNext w:val="0"/>
              <w:keepLines w:val="0"/>
              <w:widowControl/>
              <w:suppressLineNumbers w:val="0"/>
              <w:spacing w:line="360" w:lineRule="auto"/>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r>
    </w:tbl>
    <w:p w14:paraId="3EEEC773">
      <w:pPr>
        <w:pStyle w:val="2"/>
        <w:keepNext w:val="0"/>
        <w:keepLines w:val="0"/>
        <w:pageBreakBefore w:val="0"/>
        <w:kinsoku/>
        <w:wordWrap/>
        <w:overflowPunct/>
        <w:topLinePunct w:val="0"/>
        <w:autoSpaceDE/>
        <w:autoSpaceDN/>
        <w:bidi w:val="0"/>
        <w:adjustRightInd/>
        <w:snapToGrid/>
        <w:spacing w:line="400" w:lineRule="exact"/>
        <w:ind w:left="0" w:leftChars="0" w:firstLine="420" w:firstLineChars="175"/>
        <w:textAlignment w:val="auto"/>
        <w:rPr>
          <w:rFonts w:hint="default" w:ascii="Times New Roman" w:hAnsi="Times New Roman" w:eastAsia="宋体" w:cs="Times New Roman"/>
          <w:sz w:val="24"/>
        </w:rPr>
      </w:pPr>
    </w:p>
    <w:p w14:paraId="5B1E1E8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1F57B5"/>
    <w:multiLevelType w:val="singleLevel"/>
    <w:tmpl w:val="161F57B5"/>
    <w:lvl w:ilvl="0" w:tentative="0">
      <w:start w:val="1"/>
      <w:numFmt w:val="decimal"/>
      <w:lvlText w:val="%1."/>
      <w:lvlJc w:val="left"/>
      <w:pPr>
        <w:tabs>
          <w:tab w:val="left" w:pos="312"/>
        </w:tabs>
      </w:pPr>
    </w:lvl>
  </w:abstractNum>
  <w:abstractNum w:abstractNumId="1">
    <w:nsid w:val="68CC416A"/>
    <w:multiLevelType w:val="singleLevel"/>
    <w:tmpl w:val="68CC416A"/>
    <w:lvl w:ilvl="0" w:tentative="0">
      <w:start w:val="1"/>
      <w:numFmt w:val="decimal"/>
      <w:lvlText w:val="%1."/>
      <w:lvlJc w:val="left"/>
      <w:pPr>
        <w:tabs>
          <w:tab w:val="left" w:pos="312"/>
        </w:tabs>
      </w:pPr>
    </w:lvl>
  </w:abstractNum>
  <w:abstractNum w:abstractNumId="2">
    <w:nsid w:val="7B63EA9E"/>
    <w:multiLevelType w:val="singleLevel"/>
    <w:tmpl w:val="7B63EA9E"/>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806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2026-07-22T08:08:17Z</dcterms:created>
  <dc:creator>Lenovo</dc:creator>
  <cp:lastModifiedBy>汇诚金桥业务一部</cp:lastModifiedBy>
  <dcterms:modified xsi:type="dcterms:W3CDTF">2026-07-22T08:08:22Z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eyJoZGlkIjoiMGYzMThkMDdmNjc1ZjYyYzBhMDlmMWEyYzUwNjRjYTQiLCJ1c2VySWQiOiIxNTg3OTkxMzIyIn0=</vt:lpwstr>
  </property>
  <property fmtid="{D5CDD505-2E9C-101B-9397-08002B2CF9AE}" pid="4" name="ICV">
    <vt:lpwstr>A9F8E8A06F8D4918A36F94CB1F379AB8_12</vt:lpwstr>
  </property>
</Properties>
</file>